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501" w14:textId="17F661B6" w:rsidR="0072174B" w:rsidRPr="0084743E" w:rsidRDefault="00711964">
      <w:r w:rsidRPr="0084743E">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84743E" w:rsidRDefault="00790925"/>
    <w:p w14:paraId="2F635EA5" w14:textId="77777777" w:rsidR="00D672A1" w:rsidRPr="0084743E" w:rsidRDefault="00D672A1" w:rsidP="00A25B60">
      <w:pPr>
        <w:spacing w:after="0"/>
        <w:rPr>
          <w:rFonts w:ascii="Calibri" w:hAnsi="Calibri" w:cs="Calibri"/>
          <w:b/>
          <w:color w:val="1F3864" w:themeColor="accent1" w:themeShade="80"/>
          <w:sz w:val="40"/>
        </w:rPr>
      </w:pPr>
    </w:p>
    <w:p w14:paraId="124711E4" w14:textId="755A9718" w:rsidR="00A25B60" w:rsidRPr="0084743E" w:rsidRDefault="00790925" w:rsidP="00A25B60">
      <w:pPr>
        <w:spacing w:after="0"/>
        <w:rPr>
          <w:rFonts w:ascii="Calibri" w:hAnsi="Calibri" w:cs="Calibri"/>
          <w:b/>
          <w:color w:val="1F3864" w:themeColor="accent1" w:themeShade="80"/>
          <w:sz w:val="40"/>
        </w:rPr>
      </w:pPr>
      <w:r w:rsidRPr="0084743E">
        <w:rPr>
          <w:rFonts w:ascii="Calibri" w:hAnsi="Calibri" w:cs="Calibri"/>
          <w:b/>
          <w:color w:val="1F3864" w:themeColor="accent1" w:themeShade="80"/>
          <w:sz w:val="40"/>
        </w:rPr>
        <w:t>Education Quality Assurance Inspection Report</w:t>
      </w:r>
    </w:p>
    <w:p w14:paraId="37D9CF8B" w14:textId="41308D1F" w:rsidR="00A25B60" w:rsidRPr="0084743E" w:rsidRDefault="00A25B60" w:rsidP="00A25B60">
      <w:pPr>
        <w:spacing w:after="0"/>
        <w:rPr>
          <w:rFonts w:ascii="Calibri" w:hAnsi="Calibri" w:cs="Calibri"/>
          <w:b/>
          <w:color w:val="1F3864" w:themeColor="accent1" w:themeShade="80"/>
          <w:sz w:val="40"/>
        </w:rPr>
      </w:pPr>
    </w:p>
    <w:p w14:paraId="7EA2C1D7" w14:textId="77777777" w:rsidR="00711964" w:rsidRPr="0084743E" w:rsidRDefault="00711964" w:rsidP="00A25B60">
      <w:pPr>
        <w:spacing w:after="0"/>
        <w:rPr>
          <w:rFonts w:ascii="Calibri" w:hAnsi="Calibri" w:cs="Calibri"/>
          <w:b/>
          <w:color w:val="1F3864" w:themeColor="accent1" w:themeShade="80"/>
          <w:sz w:val="40"/>
        </w:rPr>
      </w:pPr>
    </w:p>
    <w:tbl>
      <w:tblPr>
        <w:tblStyle w:val="TableGrid"/>
        <w:tblW w:w="9067" w:type="dxa"/>
        <w:tblLook w:val="04A0" w:firstRow="1" w:lastRow="0" w:firstColumn="1" w:lastColumn="0" w:noHBand="0" w:noVBand="1"/>
      </w:tblPr>
      <w:tblGrid>
        <w:gridCol w:w="4390"/>
        <w:gridCol w:w="4677"/>
      </w:tblGrid>
      <w:tr w:rsidR="000A6A8E" w:rsidRPr="0084743E" w14:paraId="0B2FE623" w14:textId="77777777" w:rsidTr="000A6A8E">
        <w:tc>
          <w:tcPr>
            <w:tcW w:w="4390" w:type="dxa"/>
            <w:shd w:val="clear" w:color="auto" w:fill="1F3864" w:themeFill="accent1" w:themeFillShade="80"/>
          </w:tcPr>
          <w:p w14:paraId="154D96B0" w14:textId="213FFF13"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 xml:space="preserve">Education Provider/Awarding Body </w:t>
            </w:r>
          </w:p>
        </w:tc>
        <w:tc>
          <w:tcPr>
            <w:tcW w:w="4677" w:type="dxa"/>
            <w:shd w:val="clear" w:color="auto" w:fill="1F3864" w:themeFill="accent1" w:themeFillShade="80"/>
          </w:tcPr>
          <w:p w14:paraId="5C9A978E" w14:textId="1B0CFB01"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Programme/Award</w:t>
            </w:r>
          </w:p>
        </w:tc>
      </w:tr>
      <w:tr w:rsidR="000A6A8E" w:rsidRPr="0084743E" w14:paraId="3DC8E843" w14:textId="77777777" w:rsidTr="000A6A8E">
        <w:tc>
          <w:tcPr>
            <w:tcW w:w="4390" w:type="dxa"/>
          </w:tcPr>
          <w:p w14:paraId="479C934C" w14:textId="095423D3" w:rsidR="000A6A8E" w:rsidRPr="0084743E" w:rsidRDefault="00C718E9">
            <w:pPr>
              <w:rPr>
                <w:rFonts w:ascii="Calibri" w:hAnsi="Calibri" w:cs="Calibri"/>
                <w:color w:val="1F3864" w:themeColor="accent1" w:themeShade="80"/>
                <w:sz w:val="28"/>
              </w:rPr>
            </w:pPr>
            <w:r>
              <w:rPr>
                <w:rFonts w:ascii="Calibri" w:hAnsi="Calibri" w:cs="Calibri"/>
                <w:color w:val="1F3864" w:themeColor="accent1" w:themeShade="80"/>
                <w:sz w:val="28"/>
              </w:rPr>
              <w:t>University of Birmingham</w:t>
            </w:r>
          </w:p>
        </w:tc>
        <w:tc>
          <w:tcPr>
            <w:tcW w:w="4677" w:type="dxa"/>
          </w:tcPr>
          <w:p w14:paraId="5CCBA87E" w14:textId="3F0565F4" w:rsidR="000A6A8E" w:rsidRPr="0084743E" w:rsidRDefault="00C718E9">
            <w:pPr>
              <w:rPr>
                <w:rFonts w:ascii="Calibri" w:hAnsi="Calibri" w:cs="Calibri"/>
                <w:color w:val="1F3864" w:themeColor="accent1" w:themeShade="80"/>
                <w:sz w:val="28"/>
              </w:rPr>
            </w:pPr>
            <w:r>
              <w:rPr>
                <w:rFonts w:ascii="Calibri" w:hAnsi="Calibri" w:cs="Calibri"/>
                <w:color w:val="1F3864" w:themeColor="accent1" w:themeShade="80"/>
                <w:sz w:val="28"/>
              </w:rPr>
              <w:t>B</w:t>
            </w:r>
            <w:r w:rsidR="00630BEA">
              <w:rPr>
                <w:rFonts w:ascii="Calibri" w:hAnsi="Calibri" w:cs="Calibri"/>
                <w:color w:val="1F3864" w:themeColor="accent1" w:themeShade="80"/>
                <w:sz w:val="28"/>
              </w:rPr>
              <w:t>achelor of Dental Surgery (BDS)</w:t>
            </w:r>
          </w:p>
        </w:tc>
      </w:tr>
    </w:tbl>
    <w:p w14:paraId="0F67ED43" w14:textId="77777777" w:rsidR="00A25B60" w:rsidRPr="0084743E" w:rsidRDefault="00A25B60">
      <w:pPr>
        <w:rPr>
          <w:rFonts w:ascii="Calibri" w:hAnsi="Calibri" w:cs="Calibri"/>
          <w:color w:val="1F3864" w:themeColor="accent1" w:themeShade="80"/>
          <w:sz w:val="28"/>
        </w:rPr>
      </w:pPr>
    </w:p>
    <w:tbl>
      <w:tblPr>
        <w:tblStyle w:val="TableGrid"/>
        <w:tblW w:w="0" w:type="auto"/>
        <w:tblLook w:val="04A0" w:firstRow="1" w:lastRow="0" w:firstColumn="1" w:lastColumn="0" w:noHBand="0" w:noVBand="1"/>
      </w:tblPr>
      <w:tblGrid>
        <w:gridCol w:w="3114"/>
        <w:gridCol w:w="5902"/>
      </w:tblGrid>
      <w:tr w:rsidR="00E54A44" w:rsidRPr="0084743E" w14:paraId="057129CD" w14:textId="77777777" w:rsidTr="00711964">
        <w:tc>
          <w:tcPr>
            <w:tcW w:w="3114" w:type="dxa"/>
            <w:shd w:val="clear" w:color="auto" w:fill="1F3864" w:themeFill="accent1" w:themeFillShade="80"/>
          </w:tcPr>
          <w:p w14:paraId="2CEEF8B0" w14:textId="6CD64D55" w:rsidR="00E54A44" w:rsidRPr="0084743E" w:rsidRDefault="00E54A44">
            <w:pPr>
              <w:rPr>
                <w:rFonts w:ascii="Calibri" w:hAnsi="Calibri" w:cs="Calibri"/>
                <w:color w:val="FFFFFF" w:themeColor="background1"/>
                <w:sz w:val="28"/>
              </w:rPr>
            </w:pPr>
            <w:r w:rsidRPr="0084743E">
              <w:rPr>
                <w:rFonts w:ascii="Calibri" w:hAnsi="Calibri" w:cs="Calibri"/>
                <w:color w:val="FFFFFF" w:themeColor="background1"/>
                <w:sz w:val="28"/>
              </w:rPr>
              <w:t>Outcome of Inspection</w:t>
            </w:r>
          </w:p>
        </w:tc>
        <w:tc>
          <w:tcPr>
            <w:tcW w:w="5902" w:type="dxa"/>
          </w:tcPr>
          <w:p w14:paraId="298840EF" w14:textId="46439C3A" w:rsidR="00E54A44" w:rsidRPr="0084743E" w:rsidRDefault="00E54A44">
            <w:pPr>
              <w:rPr>
                <w:rFonts w:cstheme="minorHAnsi"/>
                <w:color w:val="1F3864" w:themeColor="accent1" w:themeShade="80"/>
                <w:sz w:val="28"/>
                <w:lang w:eastAsia="en-GB"/>
              </w:rPr>
            </w:pPr>
            <w:r w:rsidRPr="0084743E">
              <w:rPr>
                <w:rFonts w:cstheme="minorHAnsi"/>
                <w:color w:val="1F3864" w:themeColor="accent1" w:themeShade="80"/>
                <w:sz w:val="28"/>
                <w:lang w:eastAsia="en-GB"/>
              </w:rPr>
              <w:t xml:space="preserve">Recommended that the </w:t>
            </w:r>
            <w:r w:rsidR="00C718E9">
              <w:rPr>
                <w:rFonts w:cstheme="minorHAnsi"/>
                <w:color w:val="1F3864" w:themeColor="accent1" w:themeShade="80"/>
                <w:sz w:val="28"/>
                <w:lang w:eastAsia="en-GB"/>
              </w:rPr>
              <w:t>BDS</w:t>
            </w:r>
            <w:r w:rsidRPr="0084743E">
              <w:rPr>
                <w:rFonts w:cstheme="minorHAnsi"/>
                <w:color w:val="1F3864" w:themeColor="accent1" w:themeShade="80"/>
                <w:sz w:val="28"/>
                <w:lang w:eastAsia="en-GB"/>
              </w:rPr>
              <w:t xml:space="preserve"> </w:t>
            </w:r>
            <w:r w:rsidR="00456B93" w:rsidRPr="00C718E9">
              <w:rPr>
                <w:rFonts w:cstheme="minorHAnsi"/>
                <w:color w:val="1F3864" w:themeColor="accent1" w:themeShade="80"/>
                <w:sz w:val="28"/>
                <w:lang w:eastAsia="en-GB"/>
              </w:rPr>
              <w:t xml:space="preserve">is </w:t>
            </w:r>
            <w:r w:rsidR="0038522C" w:rsidRPr="00C718E9">
              <w:rPr>
                <w:rFonts w:cstheme="minorHAnsi"/>
                <w:color w:val="1F3864" w:themeColor="accent1" w:themeShade="80"/>
                <w:sz w:val="28"/>
                <w:lang w:eastAsia="en-GB"/>
              </w:rPr>
              <w:t>sufficient</w:t>
            </w:r>
            <w:r w:rsidR="00CC1E01" w:rsidRPr="00C718E9">
              <w:rPr>
                <w:rFonts w:cstheme="minorHAnsi"/>
                <w:color w:val="1F3864" w:themeColor="accent1" w:themeShade="80"/>
                <w:sz w:val="28"/>
                <w:lang w:eastAsia="en-GB"/>
              </w:rPr>
              <w:t xml:space="preserve"> </w:t>
            </w:r>
            <w:r w:rsidRPr="0084743E">
              <w:rPr>
                <w:rFonts w:cstheme="minorHAnsi"/>
                <w:color w:val="1F3864" w:themeColor="accent1" w:themeShade="80"/>
                <w:sz w:val="28"/>
                <w:lang w:eastAsia="en-GB"/>
              </w:rPr>
              <w:t xml:space="preserve">for the graduating cohort to register as </w:t>
            </w:r>
            <w:r w:rsidR="00EA0966">
              <w:rPr>
                <w:rFonts w:cstheme="minorHAnsi"/>
                <w:color w:val="1F3864" w:themeColor="accent1" w:themeShade="80"/>
                <w:sz w:val="28"/>
                <w:lang w:eastAsia="en-GB"/>
              </w:rPr>
              <w:t>a Dentist</w:t>
            </w:r>
            <w:r w:rsidR="009642CA" w:rsidRPr="0084743E">
              <w:rPr>
                <w:rFonts w:cstheme="minorHAnsi"/>
                <w:color w:val="1F3864" w:themeColor="accent1" w:themeShade="80"/>
                <w:sz w:val="28"/>
                <w:lang w:eastAsia="en-GB"/>
              </w:rPr>
              <w:t>.</w:t>
            </w:r>
          </w:p>
          <w:p w14:paraId="66C74363" w14:textId="49075CBC" w:rsidR="00BA0A18" w:rsidRPr="0084743E" w:rsidRDefault="00BA0A18">
            <w:pPr>
              <w:rPr>
                <w:rFonts w:cstheme="minorHAnsi"/>
                <w:color w:val="1F3864" w:themeColor="accent1" w:themeShade="80"/>
                <w:sz w:val="28"/>
              </w:rPr>
            </w:pPr>
          </w:p>
        </w:tc>
      </w:tr>
    </w:tbl>
    <w:p w14:paraId="4EF56798" w14:textId="56D04F83" w:rsidR="00D672A1" w:rsidRPr="0084743E" w:rsidRDefault="00D672A1">
      <w:pPr>
        <w:rPr>
          <w:rFonts w:ascii="Calibri" w:hAnsi="Calibri" w:cs="Calibri"/>
          <w:color w:val="1F3864" w:themeColor="accent1" w:themeShade="80"/>
          <w:sz w:val="28"/>
        </w:rPr>
      </w:pPr>
    </w:p>
    <w:p w14:paraId="108749C8" w14:textId="23584368" w:rsidR="00D672A1" w:rsidRPr="0084743E" w:rsidRDefault="00D672A1">
      <w:pPr>
        <w:rPr>
          <w:rFonts w:ascii="Calibri" w:hAnsi="Calibri" w:cs="Calibri"/>
          <w:color w:val="1F3864" w:themeColor="accent1" w:themeShade="80"/>
          <w:sz w:val="28"/>
        </w:rPr>
      </w:pPr>
      <w:r w:rsidRPr="0084743E">
        <w:rPr>
          <w:rFonts w:ascii="Calibri" w:hAnsi="Calibri" w:cs="Calibri"/>
          <w:color w:val="1F3864" w:themeColor="accent1" w:themeShade="80"/>
          <w:sz w:val="28"/>
        </w:rPr>
        <w:br w:type="page"/>
      </w:r>
    </w:p>
    <w:p w14:paraId="10105D78" w14:textId="24EB8B61" w:rsidR="00BD4BB3" w:rsidRPr="0084743E" w:rsidRDefault="00F671FD" w:rsidP="00BD4BB3">
      <w:pPr>
        <w:jc w:val="center"/>
        <w:rPr>
          <w:rFonts w:cs="Calibri"/>
          <w:b/>
          <w:color w:val="365F91"/>
          <w:sz w:val="28"/>
          <w:szCs w:val="28"/>
        </w:rPr>
      </w:pPr>
      <w:r w:rsidRPr="0084743E">
        <w:rPr>
          <w:rFonts w:cs="Calibri"/>
          <w:b/>
          <w:color w:val="365F91"/>
          <w:sz w:val="28"/>
          <w:szCs w:val="28"/>
        </w:rPr>
        <w:lastRenderedPageBreak/>
        <w:t>*</w:t>
      </w:r>
      <w:r w:rsidR="00BD4BB3" w:rsidRPr="0084743E">
        <w:rPr>
          <w:rFonts w:cs="Calibri"/>
          <w:b/>
          <w:color w:val="365F91"/>
          <w:sz w:val="28"/>
          <w:szCs w:val="28"/>
        </w:rPr>
        <w:t xml:space="preserve">Full details of the inspection process can be found in </w:t>
      </w:r>
      <w:r w:rsidR="000A6A8E" w:rsidRPr="0084743E">
        <w:rPr>
          <w:rFonts w:cs="Calibri"/>
          <w:b/>
          <w:color w:val="365F91"/>
          <w:sz w:val="28"/>
          <w:szCs w:val="28"/>
        </w:rPr>
        <w:t>A</w:t>
      </w:r>
      <w:r w:rsidR="00BD4BB3" w:rsidRPr="0084743E">
        <w:rPr>
          <w:rFonts w:cs="Calibri"/>
          <w:b/>
          <w:color w:val="365F91"/>
          <w:sz w:val="28"/>
          <w:szCs w:val="28"/>
        </w:rPr>
        <w:t>nnex</w:t>
      </w:r>
      <w:r w:rsidR="000A6A8E" w:rsidRPr="0084743E">
        <w:rPr>
          <w:rFonts w:cs="Calibri"/>
          <w:b/>
          <w:color w:val="365F91"/>
          <w:sz w:val="28"/>
          <w:szCs w:val="28"/>
        </w:rPr>
        <w:t xml:space="preserve"> 1</w:t>
      </w:r>
      <w:r w:rsidRPr="0084743E">
        <w:rPr>
          <w:rFonts w:cs="Calibri"/>
          <w:b/>
          <w:color w:val="365F91"/>
          <w:sz w:val="28"/>
          <w:szCs w:val="28"/>
        </w:rPr>
        <w:t>*</w:t>
      </w:r>
    </w:p>
    <w:p w14:paraId="18A65495" w14:textId="77777777" w:rsidR="000A6A8E" w:rsidRPr="0084743E" w:rsidRDefault="000A6A8E" w:rsidP="00204D49">
      <w:pPr>
        <w:spacing w:after="0"/>
        <w:rPr>
          <w:rFonts w:ascii="Arial" w:hAnsi="Arial" w:cs="Arial"/>
          <w:b/>
          <w:color w:val="244061"/>
          <w:sz w:val="28"/>
          <w:szCs w:val="28"/>
          <w:lang w:eastAsia="en-GB"/>
        </w:rPr>
      </w:pPr>
    </w:p>
    <w:p w14:paraId="0C1EAE46" w14:textId="7B4EC9F2" w:rsidR="00BD4BB3" w:rsidRPr="0084743E" w:rsidRDefault="00BD4BB3" w:rsidP="00204D49">
      <w:pPr>
        <w:spacing w:after="0"/>
        <w:rPr>
          <w:rFonts w:ascii="Arial" w:hAnsi="Arial" w:cs="Arial"/>
          <w:b/>
          <w:color w:val="244061"/>
          <w:sz w:val="28"/>
          <w:szCs w:val="28"/>
          <w:lang w:eastAsia="en-GB"/>
        </w:rPr>
      </w:pPr>
      <w:r w:rsidRPr="0084743E">
        <w:rPr>
          <w:rFonts w:ascii="Arial" w:hAnsi="Arial" w:cs="Arial"/>
          <w:b/>
          <w:color w:val="244061"/>
          <w:sz w:val="28"/>
          <w:szCs w:val="28"/>
          <w:lang w:eastAsia="en-GB"/>
        </w:rPr>
        <w:t>Inspection summary</w:t>
      </w:r>
    </w:p>
    <w:p w14:paraId="51F1BC46" w14:textId="77777777" w:rsidR="00204D49" w:rsidRPr="0084743E"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84743E" w14:paraId="73E47D7B" w14:textId="77777777" w:rsidTr="008C71F3">
        <w:tc>
          <w:tcPr>
            <w:tcW w:w="4106" w:type="dxa"/>
          </w:tcPr>
          <w:p w14:paraId="6232DDC4" w14:textId="17F35486" w:rsidR="008E4A71" w:rsidRPr="0084743E" w:rsidRDefault="008E4A71" w:rsidP="008C71F3">
            <w:pPr>
              <w:rPr>
                <w:rFonts w:ascii="Arial" w:eastAsia="Times New Roman" w:hAnsi="Arial" w:cs="Arial"/>
                <w:b/>
                <w:smallCaps/>
                <w:sz w:val="24"/>
                <w:szCs w:val="24"/>
                <w:lang w:eastAsia="en-GB"/>
              </w:rPr>
            </w:pPr>
            <w:r w:rsidRPr="0084743E">
              <w:rPr>
                <w:rFonts w:ascii="Arial" w:hAnsi="Arial" w:cs="Arial"/>
                <w:b/>
                <w:sz w:val="24"/>
                <w:szCs w:val="24"/>
              </w:rPr>
              <w:t>Remit and purpose</w:t>
            </w:r>
            <w:r w:rsidR="00204D49" w:rsidRPr="0084743E">
              <w:rPr>
                <w:rFonts w:ascii="Arial" w:hAnsi="Arial" w:cs="Arial"/>
                <w:b/>
                <w:sz w:val="24"/>
                <w:szCs w:val="24"/>
              </w:rPr>
              <w:t xml:space="preserve"> of inspection</w:t>
            </w:r>
            <w:r w:rsidRPr="0084743E">
              <w:rPr>
                <w:rFonts w:ascii="Arial" w:eastAsia="Times New Roman" w:hAnsi="Arial" w:cs="Arial"/>
                <w:b/>
                <w:smallCaps/>
                <w:sz w:val="24"/>
                <w:szCs w:val="24"/>
                <w:lang w:eastAsia="en-GB"/>
              </w:rPr>
              <w:t>:</w:t>
            </w:r>
          </w:p>
          <w:p w14:paraId="54728ABC" w14:textId="77777777" w:rsidR="008E4A71" w:rsidRPr="0084743E" w:rsidRDefault="008E4A71" w:rsidP="008C71F3">
            <w:pPr>
              <w:rPr>
                <w:rFonts w:ascii="Arial" w:eastAsia="Calibri" w:hAnsi="Arial" w:cs="Arial"/>
                <w:b/>
                <w:color w:val="2F5496" w:themeColor="accent1" w:themeShade="BF"/>
                <w:sz w:val="28"/>
                <w:szCs w:val="28"/>
              </w:rPr>
            </w:pPr>
          </w:p>
        </w:tc>
        <w:tc>
          <w:tcPr>
            <w:tcW w:w="5372" w:type="dxa"/>
          </w:tcPr>
          <w:p w14:paraId="62DBC1D3" w14:textId="77EA9F87" w:rsidR="008E4A71" w:rsidRPr="0084743E" w:rsidRDefault="008E4A71" w:rsidP="008C71F3">
            <w:pPr>
              <w:rPr>
                <w:rFonts w:ascii="Arial" w:hAnsi="Arial" w:cs="Arial"/>
                <w:b/>
                <w:sz w:val="24"/>
                <w:lang w:eastAsia="en-GB"/>
              </w:rPr>
            </w:pPr>
            <w:r w:rsidRPr="0084743E">
              <w:rPr>
                <w:rFonts w:ascii="Arial" w:hAnsi="Arial" w:cs="Arial"/>
                <w:b/>
                <w:sz w:val="24"/>
                <w:lang w:eastAsia="en-GB"/>
              </w:rPr>
              <w:t xml:space="preserve">Inspection referencing the </w:t>
            </w:r>
            <w:r w:rsidRPr="0084743E">
              <w:rPr>
                <w:rFonts w:ascii="Arial" w:hAnsi="Arial" w:cs="Arial"/>
                <w:b/>
                <w:i/>
                <w:sz w:val="24"/>
                <w:lang w:eastAsia="en-GB"/>
              </w:rPr>
              <w:t>Standards for Education</w:t>
            </w:r>
            <w:r w:rsidRPr="0084743E">
              <w:rPr>
                <w:rFonts w:ascii="Arial" w:hAnsi="Arial" w:cs="Arial"/>
                <w:b/>
                <w:sz w:val="24"/>
                <w:lang w:eastAsia="en-GB"/>
              </w:rPr>
              <w:t xml:space="preserve"> to determine</w:t>
            </w:r>
            <w:r w:rsidR="000A6A8E" w:rsidRPr="0067188F">
              <w:rPr>
                <w:rFonts w:ascii="Arial" w:hAnsi="Arial" w:cs="Arial"/>
                <w:b/>
                <w:sz w:val="24"/>
                <w:lang w:eastAsia="en-GB"/>
              </w:rPr>
              <w:t xml:space="preserve"> sufficiency</w:t>
            </w:r>
            <w:r w:rsidR="000A6A8E" w:rsidRPr="0084743E">
              <w:rPr>
                <w:rFonts w:ascii="Arial" w:hAnsi="Arial" w:cs="Arial"/>
                <w:b/>
                <w:sz w:val="24"/>
                <w:lang w:eastAsia="en-GB"/>
              </w:rPr>
              <w:t xml:space="preserve"> </w:t>
            </w:r>
            <w:r w:rsidRPr="0084743E">
              <w:rPr>
                <w:rFonts w:ascii="Arial" w:hAnsi="Arial" w:cs="Arial"/>
                <w:b/>
                <w:sz w:val="24"/>
                <w:lang w:eastAsia="en-GB"/>
              </w:rPr>
              <w:t xml:space="preserve">of the award for the purpose of registration with the GDC as </w:t>
            </w:r>
            <w:r w:rsidR="0067188F">
              <w:rPr>
                <w:rFonts w:ascii="Arial" w:hAnsi="Arial" w:cs="Arial"/>
                <w:b/>
                <w:sz w:val="24"/>
                <w:lang w:eastAsia="en-GB"/>
              </w:rPr>
              <w:t>Dentist.</w:t>
            </w:r>
          </w:p>
          <w:p w14:paraId="3C0E87C5" w14:textId="77777777" w:rsidR="009642CA" w:rsidRPr="0084743E" w:rsidRDefault="009642CA" w:rsidP="008C71F3">
            <w:pPr>
              <w:rPr>
                <w:rFonts w:ascii="Arial" w:hAnsi="Arial" w:cs="Arial"/>
                <w:b/>
                <w:sz w:val="24"/>
                <w:lang w:eastAsia="en-GB"/>
              </w:rPr>
            </w:pPr>
          </w:p>
          <w:p w14:paraId="23A7B557" w14:textId="091794E5" w:rsidR="008E4A71" w:rsidRPr="0084743E" w:rsidRDefault="00204EAF" w:rsidP="008C71F3">
            <w:pPr>
              <w:rPr>
                <w:rFonts w:ascii="Arial" w:eastAsia="Calibri" w:hAnsi="Arial" w:cs="Arial"/>
                <w:b/>
                <w:color w:val="2F5496" w:themeColor="accent1" w:themeShade="BF"/>
                <w:sz w:val="24"/>
                <w:szCs w:val="24"/>
              </w:rPr>
            </w:pPr>
            <w:r w:rsidRPr="0084743E">
              <w:rPr>
                <w:rFonts w:ascii="Arial" w:eastAsia="Calibri" w:hAnsi="Arial" w:cs="Arial"/>
                <w:b/>
                <w:color w:val="2F5496" w:themeColor="accent1" w:themeShade="BF"/>
                <w:sz w:val="24"/>
                <w:szCs w:val="24"/>
              </w:rPr>
              <w:t>Risk based: focused on</w:t>
            </w:r>
            <w:r w:rsidR="0067188F">
              <w:rPr>
                <w:rFonts w:ascii="Arial" w:eastAsia="Calibri" w:hAnsi="Arial" w:cs="Arial"/>
                <w:b/>
                <w:color w:val="2F5496" w:themeColor="accent1" w:themeShade="BF"/>
                <w:sz w:val="24"/>
                <w:szCs w:val="24"/>
              </w:rPr>
              <w:t xml:space="preserve"> requirements 1, 4, 7, 9, 13, 15</w:t>
            </w:r>
            <w:r w:rsidR="009642CA" w:rsidRPr="0084743E">
              <w:rPr>
                <w:rFonts w:ascii="Arial" w:eastAsia="Calibri" w:hAnsi="Arial" w:cs="Arial"/>
                <w:b/>
                <w:color w:val="2F5496" w:themeColor="accent1" w:themeShade="BF"/>
                <w:sz w:val="24"/>
                <w:szCs w:val="24"/>
              </w:rPr>
              <w:t>.</w:t>
            </w:r>
          </w:p>
        </w:tc>
      </w:tr>
      <w:tr w:rsidR="008E4A71" w:rsidRPr="0084743E" w14:paraId="3F28A39A" w14:textId="77777777" w:rsidTr="008C71F3">
        <w:tc>
          <w:tcPr>
            <w:tcW w:w="4106" w:type="dxa"/>
          </w:tcPr>
          <w:p w14:paraId="1FAEBE56" w14:textId="77777777" w:rsidR="008E4A71" w:rsidRPr="0084743E" w:rsidRDefault="008E4A71" w:rsidP="008C71F3">
            <w:pPr>
              <w:rPr>
                <w:rFonts w:ascii="Arial" w:eastAsia="Times New Roman" w:hAnsi="Arial" w:cs="Arial"/>
                <w:b/>
                <w:smallCaps/>
                <w:sz w:val="24"/>
                <w:szCs w:val="24"/>
                <w:lang w:eastAsia="en-GB"/>
              </w:rPr>
            </w:pPr>
            <w:r w:rsidRPr="0084743E">
              <w:rPr>
                <w:rFonts w:ascii="Arial" w:hAnsi="Arial" w:cs="Arial"/>
                <w:b/>
                <w:sz w:val="24"/>
                <w:szCs w:val="24"/>
              </w:rPr>
              <w:t>Learning Outcomes</w:t>
            </w:r>
            <w:r w:rsidRPr="0084743E">
              <w:rPr>
                <w:rFonts w:ascii="Arial" w:eastAsia="Times New Roman" w:hAnsi="Arial" w:cs="Arial"/>
                <w:b/>
                <w:smallCaps/>
                <w:sz w:val="24"/>
                <w:szCs w:val="24"/>
                <w:lang w:eastAsia="en-GB"/>
              </w:rPr>
              <w:t>:</w:t>
            </w:r>
          </w:p>
          <w:p w14:paraId="0DC8BD64" w14:textId="77777777" w:rsidR="008E4A71" w:rsidRPr="0084743E" w:rsidRDefault="008E4A71" w:rsidP="008C71F3">
            <w:pPr>
              <w:rPr>
                <w:rFonts w:ascii="Arial" w:eastAsia="Times New Roman" w:hAnsi="Arial" w:cs="Arial"/>
                <w:b/>
                <w:smallCaps/>
                <w:sz w:val="24"/>
                <w:szCs w:val="24"/>
                <w:lang w:eastAsia="en-GB"/>
              </w:rPr>
            </w:pPr>
          </w:p>
        </w:tc>
        <w:tc>
          <w:tcPr>
            <w:tcW w:w="5372" w:type="dxa"/>
          </w:tcPr>
          <w:p w14:paraId="193FC9AD" w14:textId="5B125A8D" w:rsidR="008E4A71" w:rsidRPr="0084743E" w:rsidRDefault="005B30C3" w:rsidP="009642CA">
            <w:pPr>
              <w:rPr>
                <w:rFonts w:ascii="Arial" w:hAnsi="Arial" w:cs="Arial"/>
                <w:lang w:eastAsia="en-GB"/>
              </w:rPr>
            </w:pPr>
            <w:r>
              <w:rPr>
                <w:rFonts w:ascii="Arial" w:hAnsi="Arial" w:cs="Arial"/>
                <w:b/>
                <w:iCs/>
                <w:sz w:val="24"/>
                <w:lang w:eastAsia="en-GB"/>
              </w:rPr>
              <w:t>Safe Practitioner Framework</w:t>
            </w:r>
          </w:p>
        </w:tc>
      </w:tr>
      <w:tr w:rsidR="008E4A71" w:rsidRPr="0084743E" w14:paraId="0E74530D" w14:textId="77777777" w:rsidTr="008C71F3">
        <w:tc>
          <w:tcPr>
            <w:tcW w:w="4106" w:type="dxa"/>
          </w:tcPr>
          <w:p w14:paraId="151915CD" w14:textId="010F3E40" w:rsidR="008E4A71" w:rsidRPr="0084743E" w:rsidRDefault="008E4A71" w:rsidP="008C71F3">
            <w:pPr>
              <w:rPr>
                <w:rFonts w:ascii="Arial" w:eastAsia="Times New Roman" w:hAnsi="Arial" w:cs="Arial"/>
                <w:b/>
                <w:smallCaps/>
                <w:sz w:val="24"/>
                <w:szCs w:val="24"/>
                <w:lang w:eastAsia="en-GB"/>
              </w:rPr>
            </w:pPr>
            <w:r w:rsidRPr="0084743E">
              <w:rPr>
                <w:rFonts w:ascii="Arial" w:hAnsi="Arial" w:cs="Arial"/>
                <w:b/>
                <w:sz w:val="24"/>
                <w:szCs w:val="24"/>
              </w:rPr>
              <w:t>Programme inspection date</w:t>
            </w:r>
            <w:r w:rsidR="00AA3EB3">
              <w:rPr>
                <w:rFonts w:ascii="Arial" w:hAnsi="Arial" w:cs="Arial"/>
                <w:b/>
                <w:sz w:val="24"/>
                <w:szCs w:val="24"/>
              </w:rPr>
              <w:t>:</w:t>
            </w:r>
            <w:r w:rsidRPr="0084743E">
              <w:rPr>
                <w:rFonts w:ascii="Arial" w:eastAsia="Times New Roman" w:hAnsi="Arial" w:cs="Arial"/>
                <w:b/>
                <w:smallCaps/>
                <w:sz w:val="24"/>
                <w:szCs w:val="24"/>
                <w:lang w:eastAsia="en-GB"/>
              </w:rPr>
              <w:t xml:space="preserve">  </w:t>
            </w:r>
          </w:p>
          <w:p w14:paraId="7E661E8E" w14:textId="77777777" w:rsidR="008E4A71" w:rsidRPr="0084743E" w:rsidRDefault="008E4A71" w:rsidP="008C71F3">
            <w:pPr>
              <w:rPr>
                <w:rFonts w:ascii="Arial" w:eastAsia="Times New Roman" w:hAnsi="Arial" w:cs="Arial"/>
                <w:b/>
                <w:smallCaps/>
                <w:sz w:val="24"/>
                <w:szCs w:val="24"/>
                <w:lang w:eastAsia="en-GB"/>
              </w:rPr>
            </w:pPr>
          </w:p>
        </w:tc>
        <w:tc>
          <w:tcPr>
            <w:tcW w:w="5372" w:type="dxa"/>
          </w:tcPr>
          <w:p w14:paraId="2EAF198F" w14:textId="44B5B2ED" w:rsidR="008E4A71" w:rsidRPr="00561367" w:rsidRDefault="005B30C3" w:rsidP="008C71F3">
            <w:pPr>
              <w:rPr>
                <w:rFonts w:ascii="Arial" w:hAnsi="Arial" w:cs="Arial"/>
                <w:b/>
                <w:sz w:val="24"/>
                <w:szCs w:val="24"/>
                <w:lang w:eastAsia="en-GB"/>
              </w:rPr>
            </w:pPr>
            <w:r>
              <w:rPr>
                <w:rFonts w:ascii="Arial" w:hAnsi="Arial" w:cs="Arial"/>
                <w:b/>
                <w:sz w:val="24"/>
                <w:szCs w:val="24"/>
                <w:lang w:eastAsia="en-GB"/>
              </w:rPr>
              <w:t>11 November 2025</w:t>
            </w:r>
          </w:p>
        </w:tc>
      </w:tr>
      <w:tr w:rsidR="008E4A71" w:rsidRPr="0084743E" w14:paraId="4B52CF4D" w14:textId="77777777" w:rsidTr="008C71F3">
        <w:tc>
          <w:tcPr>
            <w:tcW w:w="4106" w:type="dxa"/>
          </w:tcPr>
          <w:p w14:paraId="4A983A2D" w14:textId="7DF7B507" w:rsidR="008E4A71" w:rsidRPr="0084743E" w:rsidRDefault="008E4A71" w:rsidP="008C71F3">
            <w:pPr>
              <w:pStyle w:val="Heading2"/>
              <w:ind w:right="-424"/>
              <w:rPr>
                <w:rFonts w:cs="Arial"/>
                <w:b/>
                <w:smallCaps/>
                <w:sz w:val="24"/>
                <w:szCs w:val="24"/>
                <w:lang w:val="en-GB"/>
              </w:rPr>
            </w:pPr>
            <w:r w:rsidRPr="0084743E">
              <w:rPr>
                <w:rFonts w:cs="Arial"/>
                <w:b/>
                <w:sz w:val="24"/>
                <w:szCs w:val="24"/>
                <w:lang w:val="en-GB"/>
              </w:rPr>
              <w:t xml:space="preserve">Inspection </w:t>
            </w:r>
            <w:r w:rsidR="007743A4" w:rsidRPr="0084743E">
              <w:rPr>
                <w:rFonts w:cs="Arial"/>
                <w:b/>
                <w:sz w:val="24"/>
                <w:szCs w:val="24"/>
                <w:lang w:val="en-GB"/>
              </w:rPr>
              <w:t>team</w:t>
            </w:r>
            <w:r w:rsidRPr="0084743E">
              <w:rPr>
                <w:rFonts w:cs="Arial"/>
                <w:b/>
                <w:smallCaps/>
                <w:sz w:val="24"/>
                <w:szCs w:val="24"/>
                <w:lang w:val="en-GB"/>
              </w:rPr>
              <w:t>:</w:t>
            </w:r>
          </w:p>
          <w:p w14:paraId="4CFCA3E4" w14:textId="77777777" w:rsidR="008E4A71" w:rsidRPr="0084743E" w:rsidRDefault="008E4A71" w:rsidP="008C71F3">
            <w:pPr>
              <w:jc w:val="center"/>
              <w:rPr>
                <w:rFonts w:ascii="Arial" w:eastAsia="Times New Roman" w:hAnsi="Arial" w:cs="Arial"/>
                <w:b/>
                <w:smallCaps/>
                <w:sz w:val="24"/>
                <w:szCs w:val="24"/>
                <w:lang w:eastAsia="en-GB"/>
              </w:rPr>
            </w:pPr>
          </w:p>
        </w:tc>
        <w:tc>
          <w:tcPr>
            <w:tcW w:w="5372" w:type="dxa"/>
          </w:tcPr>
          <w:p w14:paraId="2B013169" w14:textId="77777777" w:rsidR="00AA3EB3" w:rsidRPr="00C80B17" w:rsidRDefault="00AA3EB3" w:rsidP="00AA3EB3">
            <w:pPr>
              <w:rPr>
                <w:rFonts w:ascii="Arial" w:hAnsi="Arial" w:cs="Arial"/>
                <w:b/>
                <w:sz w:val="24"/>
                <w:lang w:eastAsia="en-GB"/>
              </w:rPr>
            </w:pPr>
            <w:r w:rsidRPr="00C80B17">
              <w:rPr>
                <w:rFonts w:ascii="Arial" w:hAnsi="Arial" w:cs="Arial"/>
                <w:b/>
                <w:sz w:val="24"/>
                <w:lang w:eastAsia="en-GB"/>
              </w:rPr>
              <w:t>Kim Tolley (Chair and non-registrant member)</w:t>
            </w:r>
          </w:p>
          <w:p w14:paraId="67D16514" w14:textId="2FC41E1F" w:rsidR="00AA3EB3" w:rsidRPr="00C80B17" w:rsidRDefault="00AA3EB3" w:rsidP="00AA3EB3">
            <w:pPr>
              <w:rPr>
                <w:rFonts w:ascii="Arial" w:hAnsi="Arial" w:cs="Arial"/>
                <w:b/>
                <w:sz w:val="24"/>
                <w:lang w:eastAsia="en-GB"/>
              </w:rPr>
            </w:pPr>
            <w:r w:rsidRPr="00C80B17">
              <w:rPr>
                <w:rFonts w:ascii="Arial" w:hAnsi="Arial" w:cs="Arial"/>
                <w:b/>
                <w:sz w:val="24"/>
                <w:lang w:eastAsia="en-GB"/>
              </w:rPr>
              <w:t>Arad</w:t>
            </w:r>
            <w:r w:rsidR="005012CA">
              <w:rPr>
                <w:rFonts w:ascii="Arial" w:hAnsi="Arial" w:cs="Arial"/>
                <w:b/>
                <w:sz w:val="24"/>
                <w:lang w:eastAsia="en-GB"/>
              </w:rPr>
              <w:t>hn</w:t>
            </w:r>
            <w:r w:rsidRPr="00C80B17">
              <w:rPr>
                <w:rFonts w:ascii="Arial" w:hAnsi="Arial" w:cs="Arial"/>
                <w:b/>
                <w:sz w:val="24"/>
                <w:lang w:eastAsia="en-GB"/>
              </w:rPr>
              <w:t xml:space="preserve">a </w:t>
            </w:r>
            <w:proofErr w:type="spellStart"/>
            <w:r w:rsidRPr="00C80B17">
              <w:rPr>
                <w:rFonts w:ascii="Arial" w:hAnsi="Arial" w:cs="Arial"/>
                <w:b/>
                <w:sz w:val="24"/>
                <w:lang w:eastAsia="en-GB"/>
              </w:rPr>
              <w:t>Tugnait</w:t>
            </w:r>
            <w:proofErr w:type="spellEnd"/>
            <w:r w:rsidRPr="00C80B17">
              <w:rPr>
                <w:rFonts w:ascii="Arial" w:hAnsi="Arial" w:cs="Arial"/>
                <w:b/>
                <w:sz w:val="24"/>
                <w:lang w:eastAsia="en-GB"/>
              </w:rPr>
              <w:t xml:space="preserve"> (Dentist member)</w:t>
            </w:r>
          </w:p>
          <w:p w14:paraId="671FAB98" w14:textId="77777777" w:rsidR="00AA3EB3" w:rsidRPr="00C80B17" w:rsidRDefault="00AA3EB3" w:rsidP="00AA3EB3">
            <w:pPr>
              <w:rPr>
                <w:rFonts w:ascii="Arial" w:hAnsi="Arial" w:cs="Arial"/>
                <w:b/>
                <w:sz w:val="24"/>
                <w:lang w:eastAsia="en-GB"/>
              </w:rPr>
            </w:pPr>
            <w:r w:rsidRPr="00C80B17">
              <w:rPr>
                <w:rFonts w:ascii="Arial" w:hAnsi="Arial" w:cs="Arial"/>
                <w:b/>
                <w:sz w:val="24"/>
                <w:lang w:eastAsia="en-GB"/>
              </w:rPr>
              <w:t>Kully Nijjar (Dentist member)</w:t>
            </w:r>
          </w:p>
          <w:p w14:paraId="4506E5AC" w14:textId="77777777" w:rsidR="00AA3EB3" w:rsidRDefault="00AA3EB3" w:rsidP="00AA3EB3">
            <w:pPr>
              <w:rPr>
                <w:rFonts w:ascii="Arial" w:hAnsi="Arial" w:cs="Arial"/>
                <w:b/>
                <w:sz w:val="24"/>
                <w:lang w:eastAsia="en-GB"/>
              </w:rPr>
            </w:pPr>
            <w:r w:rsidRPr="00C80B17">
              <w:rPr>
                <w:rFonts w:ascii="Arial" w:hAnsi="Arial" w:cs="Arial"/>
                <w:b/>
                <w:sz w:val="24"/>
                <w:lang w:eastAsia="en-GB"/>
              </w:rPr>
              <w:t>James Pennington</w:t>
            </w:r>
            <w:r>
              <w:rPr>
                <w:rFonts w:ascii="Arial" w:hAnsi="Arial" w:cs="Arial"/>
                <w:b/>
                <w:sz w:val="24"/>
                <w:lang w:eastAsia="en-GB"/>
              </w:rPr>
              <w:t xml:space="preserve"> (Education and Quality Assurance Officer)</w:t>
            </w:r>
          </w:p>
          <w:p w14:paraId="34A5D033" w14:textId="77777777" w:rsidR="00AA3EB3" w:rsidRPr="0084743E" w:rsidRDefault="00AA3EB3" w:rsidP="00AA3EB3">
            <w:pPr>
              <w:rPr>
                <w:rFonts w:ascii="Arial" w:hAnsi="Arial" w:cs="Arial"/>
                <w:b/>
                <w:sz w:val="24"/>
                <w:lang w:eastAsia="en-GB"/>
              </w:rPr>
            </w:pPr>
            <w:r>
              <w:rPr>
                <w:rFonts w:ascii="Arial" w:hAnsi="Arial" w:cs="Arial"/>
                <w:b/>
                <w:sz w:val="24"/>
                <w:lang w:eastAsia="en-GB"/>
              </w:rPr>
              <w:t>Natalie Watson (Education and Quality Assurance Officer)</w:t>
            </w:r>
          </w:p>
          <w:p w14:paraId="544DE4E4" w14:textId="77777777" w:rsidR="008E4A71" w:rsidRPr="0084743E" w:rsidRDefault="008E4A71" w:rsidP="008C71F3">
            <w:pPr>
              <w:rPr>
                <w:rFonts w:ascii="Arial" w:eastAsia="Times New Roman" w:hAnsi="Arial" w:cs="Arial"/>
                <w:b/>
                <w:smallCaps/>
                <w:sz w:val="24"/>
                <w:szCs w:val="24"/>
                <w:lang w:eastAsia="en-GB"/>
              </w:rPr>
            </w:pPr>
          </w:p>
        </w:tc>
      </w:tr>
      <w:tr w:rsidR="00671D27" w:rsidRPr="0084743E" w14:paraId="0E0C9100" w14:textId="77777777" w:rsidTr="008C71F3">
        <w:tc>
          <w:tcPr>
            <w:tcW w:w="4106" w:type="dxa"/>
          </w:tcPr>
          <w:p w14:paraId="5424E9B4" w14:textId="0B32518D" w:rsidR="00671D27" w:rsidRPr="0084743E" w:rsidRDefault="00671D27" w:rsidP="008C71F3">
            <w:pPr>
              <w:pStyle w:val="Heading2"/>
              <w:ind w:right="-424"/>
              <w:rPr>
                <w:rFonts w:cs="Arial"/>
                <w:b/>
                <w:sz w:val="24"/>
                <w:szCs w:val="24"/>
                <w:lang w:val="en-GB"/>
              </w:rPr>
            </w:pPr>
            <w:r>
              <w:rPr>
                <w:rFonts w:cs="Arial"/>
                <w:b/>
                <w:sz w:val="24"/>
                <w:szCs w:val="24"/>
                <w:lang w:val="en-GB"/>
              </w:rPr>
              <w:t>Report Produced by:</w:t>
            </w:r>
          </w:p>
        </w:tc>
        <w:tc>
          <w:tcPr>
            <w:tcW w:w="5372" w:type="dxa"/>
          </w:tcPr>
          <w:p w14:paraId="64A5D5DF" w14:textId="4C02886B" w:rsidR="00AA3EB3" w:rsidRDefault="00AA3EB3" w:rsidP="00AA3EB3">
            <w:pPr>
              <w:rPr>
                <w:rFonts w:ascii="Arial" w:hAnsi="Arial" w:cs="Arial"/>
                <w:b/>
                <w:sz w:val="24"/>
                <w:lang w:eastAsia="en-GB"/>
              </w:rPr>
            </w:pPr>
            <w:r w:rsidRPr="00C80B17">
              <w:rPr>
                <w:rFonts w:ascii="Arial" w:hAnsi="Arial" w:cs="Arial"/>
                <w:b/>
                <w:sz w:val="24"/>
                <w:lang w:eastAsia="en-GB"/>
              </w:rPr>
              <w:t>James Pennington</w:t>
            </w:r>
            <w:r>
              <w:rPr>
                <w:rFonts w:ascii="Arial" w:hAnsi="Arial" w:cs="Arial"/>
                <w:b/>
                <w:sz w:val="24"/>
                <w:lang w:eastAsia="en-GB"/>
              </w:rPr>
              <w:t xml:space="preserve"> (Education and Quality Assurance Officer)</w:t>
            </w:r>
          </w:p>
          <w:p w14:paraId="490ABE34" w14:textId="77777777" w:rsidR="00AA3EB3" w:rsidRPr="0084743E" w:rsidRDefault="00AA3EB3" w:rsidP="00AA3EB3">
            <w:pPr>
              <w:rPr>
                <w:rFonts w:ascii="Arial" w:hAnsi="Arial" w:cs="Arial"/>
                <w:b/>
                <w:sz w:val="24"/>
                <w:lang w:eastAsia="en-GB"/>
              </w:rPr>
            </w:pPr>
            <w:r>
              <w:rPr>
                <w:rFonts w:ascii="Arial" w:hAnsi="Arial" w:cs="Arial"/>
                <w:b/>
                <w:sz w:val="24"/>
                <w:lang w:eastAsia="en-GB"/>
              </w:rPr>
              <w:t>Natalie Watson (Education and Quality Assurance Officer)</w:t>
            </w:r>
          </w:p>
          <w:p w14:paraId="2726941B" w14:textId="3C2FA3D6" w:rsidR="00671D27" w:rsidRPr="0084743E" w:rsidRDefault="00671D27" w:rsidP="008C71F3">
            <w:pPr>
              <w:rPr>
                <w:rFonts w:ascii="Arial" w:hAnsi="Arial" w:cs="Arial"/>
                <w:b/>
                <w:sz w:val="24"/>
                <w:lang w:eastAsia="en-GB"/>
              </w:rPr>
            </w:pPr>
          </w:p>
        </w:tc>
      </w:tr>
    </w:tbl>
    <w:p w14:paraId="16358435" w14:textId="77777777" w:rsidR="00E2148E" w:rsidRPr="0084743E" w:rsidRDefault="00E2148E" w:rsidP="00E2148E">
      <w:pPr>
        <w:spacing w:after="240" w:line="240" w:lineRule="auto"/>
        <w:rPr>
          <w:rFonts w:ascii="Arial" w:hAnsi="Arial" w:cs="Arial"/>
        </w:rPr>
      </w:pPr>
    </w:p>
    <w:p w14:paraId="76B1DD05" w14:textId="63C881C8" w:rsidR="00FB28E7" w:rsidRDefault="00FB28E7" w:rsidP="00FB28E7">
      <w:pPr>
        <w:spacing w:after="240" w:line="240" w:lineRule="auto"/>
        <w:rPr>
          <w:rFonts w:ascii="Arial" w:hAnsi="Arial" w:cs="Arial"/>
        </w:rPr>
      </w:pPr>
      <w:r>
        <w:rPr>
          <w:rFonts w:ascii="Arial" w:hAnsi="Arial" w:cs="Arial"/>
        </w:rPr>
        <w:t>The</w:t>
      </w:r>
      <w:r w:rsidRPr="73FF3367">
        <w:rPr>
          <w:rFonts w:ascii="Arial" w:hAnsi="Arial" w:cs="Arial"/>
        </w:rPr>
        <w:t xml:space="preserve"> inspection of the Bachelor of Dental Surgery (BDS) (hereafter referred to as “the programme”)</w:t>
      </w:r>
      <w:r>
        <w:rPr>
          <w:rFonts w:ascii="Arial" w:hAnsi="Arial" w:cs="Arial"/>
        </w:rPr>
        <w:t xml:space="preserve"> is</w:t>
      </w:r>
      <w:r w:rsidRPr="73FF3367">
        <w:rPr>
          <w:rFonts w:ascii="Arial" w:hAnsi="Arial" w:cs="Arial"/>
        </w:rPr>
        <w:t xml:space="preserve"> awarded and delivered by the University of</w:t>
      </w:r>
      <w:r>
        <w:rPr>
          <w:rFonts w:ascii="Arial" w:hAnsi="Arial" w:cs="Arial"/>
        </w:rPr>
        <w:t xml:space="preserve"> Birmingham</w:t>
      </w:r>
      <w:r w:rsidRPr="73FF3367">
        <w:rPr>
          <w:rFonts w:ascii="Arial" w:hAnsi="Arial" w:cs="Arial"/>
        </w:rPr>
        <w:t xml:space="preserve"> (hereafter referred to as “the</w:t>
      </w:r>
      <w:r>
        <w:rPr>
          <w:rFonts w:ascii="Arial" w:hAnsi="Arial" w:cs="Arial"/>
        </w:rPr>
        <w:t xml:space="preserve"> </w:t>
      </w:r>
      <w:proofErr w:type="gramStart"/>
      <w:r w:rsidR="00013A4A">
        <w:rPr>
          <w:rFonts w:ascii="Arial" w:hAnsi="Arial" w:cs="Arial"/>
        </w:rPr>
        <w:t>S</w:t>
      </w:r>
      <w:r>
        <w:rPr>
          <w:rFonts w:ascii="Arial" w:hAnsi="Arial" w:cs="Arial"/>
        </w:rPr>
        <w:t>chool</w:t>
      </w:r>
      <w:proofErr w:type="gramEnd"/>
      <w:r w:rsidRPr="73FF3367">
        <w:rPr>
          <w:rFonts w:ascii="Arial" w:hAnsi="Arial" w:cs="Arial"/>
        </w:rPr>
        <w:t xml:space="preserve">”). </w:t>
      </w:r>
    </w:p>
    <w:p w14:paraId="5108BFF9" w14:textId="7CF22A74" w:rsidR="006C4F70" w:rsidRDefault="006C4F70" w:rsidP="00FB28E7">
      <w:pPr>
        <w:spacing w:after="240" w:line="240" w:lineRule="auto"/>
        <w:rPr>
          <w:rFonts w:ascii="Arial" w:hAnsi="Arial" w:cs="Arial"/>
        </w:rPr>
      </w:pPr>
      <w:r>
        <w:rPr>
          <w:rFonts w:ascii="Arial" w:hAnsi="Arial" w:cs="Arial"/>
        </w:rPr>
        <w:t xml:space="preserve">The programme was inspected as part of the “time elapsed” </w:t>
      </w:r>
      <w:r w:rsidR="0011723A">
        <w:rPr>
          <w:rFonts w:ascii="Arial" w:hAnsi="Arial" w:cs="Arial"/>
        </w:rPr>
        <w:t>risk-based</w:t>
      </w:r>
      <w:r w:rsidR="00DF584F">
        <w:rPr>
          <w:rFonts w:ascii="Arial" w:hAnsi="Arial" w:cs="Arial"/>
        </w:rPr>
        <w:t xml:space="preserve"> inspection process </w:t>
      </w:r>
      <w:r>
        <w:rPr>
          <w:rFonts w:ascii="Arial" w:hAnsi="Arial" w:cs="Arial"/>
        </w:rPr>
        <w:t>due to the length of time passed since the programme was last inspected</w:t>
      </w:r>
      <w:r w:rsidR="00671AB4">
        <w:rPr>
          <w:rFonts w:ascii="Arial" w:hAnsi="Arial" w:cs="Arial"/>
        </w:rPr>
        <w:t xml:space="preserve">. No </w:t>
      </w:r>
      <w:r w:rsidR="00AB0AAF">
        <w:rPr>
          <w:rFonts w:ascii="Arial" w:hAnsi="Arial" w:cs="Arial"/>
        </w:rPr>
        <w:t>risks</w:t>
      </w:r>
      <w:r w:rsidR="00671AB4">
        <w:rPr>
          <w:rFonts w:ascii="Arial" w:hAnsi="Arial" w:cs="Arial"/>
        </w:rPr>
        <w:t xml:space="preserve"> had been </w:t>
      </w:r>
      <w:r w:rsidR="001D3EDB">
        <w:rPr>
          <w:rFonts w:ascii="Arial" w:hAnsi="Arial" w:cs="Arial"/>
        </w:rPr>
        <w:t>identified</w:t>
      </w:r>
      <w:r w:rsidR="00671AB4">
        <w:rPr>
          <w:rFonts w:ascii="Arial" w:hAnsi="Arial" w:cs="Arial"/>
        </w:rPr>
        <w:t xml:space="preserve"> through </w:t>
      </w:r>
      <w:r w:rsidR="00DD5242">
        <w:rPr>
          <w:rFonts w:ascii="Arial" w:hAnsi="Arial" w:cs="Arial"/>
        </w:rPr>
        <w:t>the General Dental Council’s (GDC)</w:t>
      </w:r>
      <w:r w:rsidR="00671AB4">
        <w:rPr>
          <w:rFonts w:ascii="Arial" w:hAnsi="Arial" w:cs="Arial"/>
        </w:rPr>
        <w:t xml:space="preserve"> </w:t>
      </w:r>
      <w:r w:rsidR="001D3EDB">
        <w:rPr>
          <w:rFonts w:ascii="Arial" w:hAnsi="Arial" w:cs="Arial"/>
        </w:rPr>
        <w:t>regular</w:t>
      </w:r>
      <w:r w:rsidR="00671AB4">
        <w:rPr>
          <w:rFonts w:ascii="Arial" w:hAnsi="Arial" w:cs="Arial"/>
        </w:rPr>
        <w:t xml:space="preserve"> monitoring </w:t>
      </w:r>
      <w:r w:rsidR="001D3EDB">
        <w:rPr>
          <w:rFonts w:ascii="Arial" w:hAnsi="Arial" w:cs="Arial"/>
        </w:rPr>
        <w:t>exercise</w:t>
      </w:r>
      <w:r w:rsidR="00DD5242">
        <w:rPr>
          <w:rFonts w:ascii="Arial" w:hAnsi="Arial" w:cs="Arial"/>
        </w:rPr>
        <w:t>s</w:t>
      </w:r>
      <w:r w:rsidR="001D3EDB">
        <w:rPr>
          <w:rFonts w:ascii="Arial" w:hAnsi="Arial" w:cs="Arial"/>
        </w:rPr>
        <w:t xml:space="preserve"> </w:t>
      </w:r>
      <w:r w:rsidR="00671AB4">
        <w:rPr>
          <w:rFonts w:ascii="Arial" w:hAnsi="Arial" w:cs="Arial"/>
        </w:rPr>
        <w:t xml:space="preserve">and so a standardised list of requirements </w:t>
      </w:r>
      <w:r w:rsidR="001D3EDB">
        <w:rPr>
          <w:rFonts w:ascii="Arial" w:hAnsi="Arial" w:cs="Arial"/>
        </w:rPr>
        <w:t>from the Standards for Education were inspected.</w:t>
      </w:r>
    </w:p>
    <w:p w14:paraId="4A92BEAC" w14:textId="6C584747" w:rsidR="00CB0572" w:rsidRDefault="00F14E42" w:rsidP="00CB0572">
      <w:pPr>
        <w:spacing w:after="0" w:line="240" w:lineRule="auto"/>
        <w:rPr>
          <w:rFonts w:ascii="Arial" w:hAnsi="Arial" w:cs="Arial"/>
          <w:bCs/>
        </w:rPr>
      </w:pPr>
      <w:r w:rsidRPr="00D503A7">
        <w:rPr>
          <w:rFonts w:ascii="Arial" w:eastAsia="Calibri" w:hAnsi="Arial" w:cs="Arial"/>
          <w:bCs/>
          <w:iCs/>
          <w:color w:val="000000" w:themeColor="text1"/>
        </w:rPr>
        <w:t xml:space="preserve">The </w:t>
      </w:r>
      <w:proofErr w:type="gramStart"/>
      <w:r>
        <w:rPr>
          <w:rFonts w:ascii="Arial" w:eastAsia="Calibri" w:hAnsi="Arial" w:cs="Arial"/>
          <w:bCs/>
          <w:iCs/>
          <w:color w:val="000000" w:themeColor="text1"/>
        </w:rPr>
        <w:t>S</w:t>
      </w:r>
      <w:r w:rsidRPr="00D503A7">
        <w:rPr>
          <w:rFonts w:ascii="Arial" w:eastAsia="Calibri" w:hAnsi="Arial" w:cs="Arial"/>
          <w:bCs/>
          <w:iCs/>
          <w:color w:val="000000" w:themeColor="text1"/>
        </w:rPr>
        <w:t>chool</w:t>
      </w:r>
      <w:proofErr w:type="gramEnd"/>
      <w:r w:rsidRPr="00D503A7">
        <w:rPr>
          <w:rFonts w:ascii="Arial" w:eastAsia="Calibri" w:hAnsi="Arial" w:cs="Arial"/>
          <w:bCs/>
          <w:iCs/>
          <w:color w:val="000000" w:themeColor="text1"/>
        </w:rPr>
        <w:t xml:space="preserve"> sits within the College </w:t>
      </w:r>
      <w:r>
        <w:rPr>
          <w:rFonts w:ascii="Arial" w:eastAsia="Calibri" w:hAnsi="Arial" w:cs="Arial"/>
          <w:bCs/>
          <w:iCs/>
          <w:color w:val="000000" w:themeColor="text1"/>
        </w:rPr>
        <w:t>of</w:t>
      </w:r>
      <w:r w:rsidRPr="00D503A7">
        <w:rPr>
          <w:rFonts w:ascii="Arial" w:eastAsia="Calibri" w:hAnsi="Arial" w:cs="Arial"/>
          <w:bCs/>
          <w:iCs/>
          <w:color w:val="000000" w:themeColor="text1"/>
        </w:rPr>
        <w:t xml:space="preserve"> Medicine and Health within the </w:t>
      </w:r>
      <w:r>
        <w:rPr>
          <w:rFonts w:ascii="Arial" w:eastAsia="Calibri" w:hAnsi="Arial" w:cs="Arial"/>
          <w:bCs/>
          <w:iCs/>
          <w:color w:val="000000" w:themeColor="text1"/>
        </w:rPr>
        <w:t>U</w:t>
      </w:r>
      <w:r w:rsidRPr="00D503A7">
        <w:rPr>
          <w:rFonts w:ascii="Arial" w:eastAsia="Calibri" w:hAnsi="Arial" w:cs="Arial"/>
          <w:bCs/>
          <w:iCs/>
          <w:color w:val="000000" w:themeColor="text1"/>
        </w:rPr>
        <w:t>niversity structure</w:t>
      </w:r>
      <w:r>
        <w:rPr>
          <w:rFonts w:ascii="Arial" w:eastAsia="Calibri" w:hAnsi="Arial" w:cs="Arial"/>
          <w:bCs/>
          <w:iCs/>
          <w:color w:val="000000" w:themeColor="text1"/>
        </w:rPr>
        <w:t xml:space="preserve"> </w:t>
      </w:r>
      <w:r w:rsidR="0055308B">
        <w:rPr>
          <w:rFonts w:ascii="Arial" w:eastAsia="Calibri" w:hAnsi="Arial" w:cs="Arial"/>
          <w:bCs/>
          <w:iCs/>
          <w:color w:val="000000" w:themeColor="text1"/>
        </w:rPr>
        <w:t xml:space="preserve">and </w:t>
      </w:r>
      <w:r w:rsidR="008158A9">
        <w:rPr>
          <w:rFonts w:ascii="Arial" w:hAnsi="Arial" w:cs="Arial"/>
          <w:bCs/>
        </w:rPr>
        <w:t>is well</w:t>
      </w:r>
      <w:r w:rsidR="00CB0572">
        <w:rPr>
          <w:rFonts w:ascii="Arial" w:hAnsi="Arial" w:cs="Arial"/>
          <w:bCs/>
        </w:rPr>
        <w:t xml:space="preserve"> supported and well-integrated with</w:t>
      </w:r>
      <w:r w:rsidR="000B26D7">
        <w:rPr>
          <w:rFonts w:ascii="Arial" w:hAnsi="Arial" w:cs="Arial"/>
          <w:bCs/>
        </w:rPr>
        <w:t>in</w:t>
      </w:r>
      <w:r w:rsidR="00CB0572">
        <w:rPr>
          <w:rFonts w:ascii="Arial" w:hAnsi="Arial" w:cs="Arial"/>
          <w:bCs/>
        </w:rPr>
        <w:t xml:space="preserve"> the </w:t>
      </w:r>
      <w:r w:rsidR="0011723A">
        <w:rPr>
          <w:rFonts w:ascii="Arial" w:hAnsi="Arial" w:cs="Arial"/>
          <w:bCs/>
        </w:rPr>
        <w:t>wider</w:t>
      </w:r>
      <w:r w:rsidR="00CB0572">
        <w:rPr>
          <w:rFonts w:ascii="Arial" w:hAnsi="Arial" w:cs="Arial"/>
          <w:bCs/>
        </w:rPr>
        <w:t xml:space="preserve"> University, with </w:t>
      </w:r>
      <w:r w:rsidR="002D0293">
        <w:rPr>
          <w:rFonts w:ascii="Arial" w:hAnsi="Arial" w:cs="Arial"/>
          <w:bCs/>
        </w:rPr>
        <w:t xml:space="preserve">sufficient </w:t>
      </w:r>
      <w:r w:rsidR="00CB0572">
        <w:rPr>
          <w:rFonts w:ascii="Arial" w:hAnsi="Arial" w:cs="Arial"/>
          <w:bCs/>
        </w:rPr>
        <w:t>resources available for the programme and for the student</w:t>
      </w:r>
      <w:r w:rsidR="002D0293">
        <w:rPr>
          <w:rFonts w:ascii="Arial" w:hAnsi="Arial" w:cs="Arial"/>
          <w:bCs/>
        </w:rPr>
        <w:t>s</w:t>
      </w:r>
      <w:r w:rsidR="000B26D7">
        <w:rPr>
          <w:rFonts w:ascii="Arial" w:hAnsi="Arial" w:cs="Arial"/>
          <w:bCs/>
        </w:rPr>
        <w:t>. This is</w:t>
      </w:r>
      <w:r w:rsidR="000E30B2">
        <w:rPr>
          <w:rFonts w:ascii="Arial" w:hAnsi="Arial" w:cs="Arial"/>
          <w:bCs/>
        </w:rPr>
        <w:t xml:space="preserve"> especially </w:t>
      </w:r>
      <w:r w:rsidR="000B26D7">
        <w:rPr>
          <w:rFonts w:ascii="Arial" w:hAnsi="Arial" w:cs="Arial"/>
          <w:bCs/>
        </w:rPr>
        <w:t xml:space="preserve">apparent in </w:t>
      </w:r>
      <w:r w:rsidR="000E30B2">
        <w:rPr>
          <w:rFonts w:ascii="Arial" w:hAnsi="Arial" w:cs="Arial"/>
          <w:bCs/>
        </w:rPr>
        <w:t>pastoral and wellbeing support</w:t>
      </w:r>
      <w:r w:rsidR="000B26D7">
        <w:rPr>
          <w:rFonts w:ascii="Arial" w:hAnsi="Arial" w:cs="Arial"/>
          <w:bCs/>
        </w:rPr>
        <w:t xml:space="preserve"> available for students</w:t>
      </w:r>
      <w:r w:rsidR="00CB0572">
        <w:rPr>
          <w:rFonts w:ascii="Arial" w:hAnsi="Arial" w:cs="Arial"/>
          <w:bCs/>
        </w:rPr>
        <w:t>. The staff on the programme clearly care deeply about the students and the programme with a lot of the staff either being former students or hav</w:t>
      </w:r>
      <w:r w:rsidR="00626F23">
        <w:rPr>
          <w:rFonts w:ascii="Arial" w:hAnsi="Arial" w:cs="Arial"/>
          <w:bCs/>
        </w:rPr>
        <w:t>ing</w:t>
      </w:r>
      <w:r w:rsidR="00CB0572">
        <w:rPr>
          <w:rFonts w:ascii="Arial" w:hAnsi="Arial" w:cs="Arial"/>
          <w:bCs/>
        </w:rPr>
        <w:t xml:space="preserve"> worked </w:t>
      </w:r>
      <w:r w:rsidR="00D82C2F">
        <w:rPr>
          <w:rFonts w:ascii="Arial" w:hAnsi="Arial" w:cs="Arial"/>
          <w:bCs/>
        </w:rPr>
        <w:t>with the programme</w:t>
      </w:r>
      <w:r w:rsidR="00CB0572">
        <w:rPr>
          <w:rFonts w:ascii="Arial" w:hAnsi="Arial" w:cs="Arial"/>
          <w:bCs/>
        </w:rPr>
        <w:t xml:space="preserve"> for many years</w:t>
      </w:r>
      <w:r w:rsidR="00626F23">
        <w:rPr>
          <w:rFonts w:ascii="Arial" w:hAnsi="Arial" w:cs="Arial"/>
          <w:bCs/>
        </w:rPr>
        <w:t>. T</w:t>
      </w:r>
      <w:r w:rsidR="00CB0572">
        <w:rPr>
          <w:rFonts w:ascii="Arial" w:hAnsi="Arial" w:cs="Arial"/>
          <w:bCs/>
        </w:rPr>
        <w:t xml:space="preserve">his </w:t>
      </w:r>
      <w:r w:rsidR="00626F23">
        <w:rPr>
          <w:rFonts w:ascii="Arial" w:hAnsi="Arial" w:cs="Arial"/>
          <w:bCs/>
        </w:rPr>
        <w:t xml:space="preserve">is </w:t>
      </w:r>
      <w:r w:rsidR="00CB0572">
        <w:rPr>
          <w:rFonts w:ascii="Arial" w:hAnsi="Arial" w:cs="Arial"/>
          <w:bCs/>
        </w:rPr>
        <w:t xml:space="preserve">also </w:t>
      </w:r>
      <w:r w:rsidR="00626F23">
        <w:rPr>
          <w:rFonts w:ascii="Arial" w:hAnsi="Arial" w:cs="Arial"/>
          <w:bCs/>
        </w:rPr>
        <w:t xml:space="preserve">a testament to their </w:t>
      </w:r>
      <w:r w:rsidR="00CB0572">
        <w:rPr>
          <w:rFonts w:ascii="Arial" w:hAnsi="Arial" w:cs="Arial"/>
          <w:bCs/>
        </w:rPr>
        <w:t xml:space="preserve">commitment to growth and positive change. </w:t>
      </w:r>
      <w:r w:rsidR="00C17907">
        <w:rPr>
          <w:rFonts w:ascii="Arial" w:hAnsi="Arial" w:cs="Arial"/>
          <w:bCs/>
        </w:rPr>
        <w:t xml:space="preserve">The inspection panel </w:t>
      </w:r>
      <w:r w:rsidR="00091B20">
        <w:rPr>
          <w:rFonts w:ascii="Arial" w:hAnsi="Arial" w:cs="Arial"/>
          <w:bCs/>
        </w:rPr>
        <w:t xml:space="preserve">identified </w:t>
      </w:r>
      <w:r w:rsidR="00C17907">
        <w:rPr>
          <w:rFonts w:ascii="Arial" w:hAnsi="Arial" w:cs="Arial"/>
          <w:bCs/>
        </w:rPr>
        <w:t>many areas of good practice</w:t>
      </w:r>
      <w:r w:rsidR="00091B20">
        <w:rPr>
          <w:rFonts w:ascii="Arial" w:hAnsi="Arial" w:cs="Arial"/>
          <w:bCs/>
        </w:rPr>
        <w:t xml:space="preserve">, some </w:t>
      </w:r>
      <w:r w:rsidR="004C358C">
        <w:rPr>
          <w:rFonts w:ascii="Arial" w:hAnsi="Arial" w:cs="Arial"/>
          <w:bCs/>
        </w:rPr>
        <w:t xml:space="preserve">of </w:t>
      </w:r>
      <w:r w:rsidR="00091B20">
        <w:rPr>
          <w:rFonts w:ascii="Arial" w:hAnsi="Arial" w:cs="Arial"/>
          <w:bCs/>
        </w:rPr>
        <w:t>which were particularly novel,</w:t>
      </w:r>
      <w:r w:rsidR="00C17907">
        <w:rPr>
          <w:rFonts w:ascii="Arial" w:hAnsi="Arial" w:cs="Arial"/>
          <w:bCs/>
        </w:rPr>
        <w:t xml:space="preserve"> which were commended to the </w:t>
      </w:r>
      <w:r w:rsidR="00987768">
        <w:rPr>
          <w:rFonts w:ascii="Arial" w:hAnsi="Arial" w:cs="Arial"/>
          <w:bCs/>
        </w:rPr>
        <w:t>P</w:t>
      </w:r>
      <w:r w:rsidR="00C17907">
        <w:rPr>
          <w:rFonts w:ascii="Arial" w:hAnsi="Arial" w:cs="Arial"/>
          <w:bCs/>
        </w:rPr>
        <w:t xml:space="preserve">rogramme </w:t>
      </w:r>
      <w:r w:rsidR="00987768">
        <w:rPr>
          <w:rFonts w:ascii="Arial" w:hAnsi="Arial" w:cs="Arial"/>
          <w:bCs/>
        </w:rPr>
        <w:t>L</w:t>
      </w:r>
      <w:r w:rsidR="00C17907">
        <w:rPr>
          <w:rFonts w:ascii="Arial" w:hAnsi="Arial" w:cs="Arial"/>
          <w:bCs/>
        </w:rPr>
        <w:t>ead and</w:t>
      </w:r>
      <w:r w:rsidR="00987768">
        <w:rPr>
          <w:rFonts w:ascii="Arial" w:hAnsi="Arial" w:cs="Arial"/>
          <w:bCs/>
        </w:rPr>
        <w:t xml:space="preserve"> Head of Dentistry</w:t>
      </w:r>
      <w:r w:rsidR="00C17907">
        <w:rPr>
          <w:rFonts w:ascii="Arial" w:hAnsi="Arial" w:cs="Arial"/>
          <w:bCs/>
        </w:rPr>
        <w:t>.</w:t>
      </w:r>
    </w:p>
    <w:p w14:paraId="7AA9B8C1" w14:textId="77777777" w:rsidR="00CB0572" w:rsidRDefault="00CB0572" w:rsidP="00CB0572">
      <w:pPr>
        <w:spacing w:after="0" w:line="240" w:lineRule="auto"/>
        <w:rPr>
          <w:rFonts w:ascii="Arial" w:hAnsi="Arial" w:cs="Arial"/>
          <w:bCs/>
        </w:rPr>
      </w:pPr>
    </w:p>
    <w:p w14:paraId="6305C509" w14:textId="777B1F27" w:rsidR="005E6834" w:rsidRDefault="00CB0572" w:rsidP="00CB0572">
      <w:pPr>
        <w:rPr>
          <w:rFonts w:ascii="Arial" w:hAnsi="Arial" w:cs="Arial"/>
          <w:bCs/>
        </w:rPr>
      </w:pPr>
      <w:r>
        <w:rPr>
          <w:rFonts w:ascii="Arial" w:hAnsi="Arial" w:cs="Arial"/>
          <w:bCs/>
        </w:rPr>
        <w:lastRenderedPageBreak/>
        <w:t xml:space="preserve">The </w:t>
      </w:r>
      <w:proofErr w:type="gramStart"/>
      <w:r w:rsidR="00013A4A">
        <w:rPr>
          <w:rFonts w:ascii="Arial" w:hAnsi="Arial" w:cs="Arial"/>
          <w:bCs/>
        </w:rPr>
        <w:t>S</w:t>
      </w:r>
      <w:r>
        <w:rPr>
          <w:rFonts w:ascii="Arial" w:hAnsi="Arial" w:cs="Arial"/>
          <w:bCs/>
        </w:rPr>
        <w:t>chool</w:t>
      </w:r>
      <w:proofErr w:type="gramEnd"/>
      <w:r>
        <w:rPr>
          <w:rFonts w:ascii="Arial" w:hAnsi="Arial" w:cs="Arial"/>
          <w:bCs/>
        </w:rPr>
        <w:t xml:space="preserve"> utilises the Dental Hospital well and has very clear structured support and supervision which the student</w:t>
      </w:r>
      <w:r w:rsidR="00122EEC">
        <w:rPr>
          <w:rFonts w:ascii="Arial" w:hAnsi="Arial" w:cs="Arial"/>
          <w:bCs/>
        </w:rPr>
        <w:t>s</w:t>
      </w:r>
      <w:r>
        <w:rPr>
          <w:rFonts w:ascii="Arial" w:hAnsi="Arial" w:cs="Arial"/>
          <w:bCs/>
        </w:rPr>
        <w:t xml:space="preserve"> spoke very positively about. </w:t>
      </w:r>
      <w:r w:rsidR="00122EEC">
        <w:rPr>
          <w:rFonts w:ascii="Arial" w:hAnsi="Arial" w:cs="Arial"/>
          <w:bCs/>
        </w:rPr>
        <w:t xml:space="preserve">This is </w:t>
      </w:r>
      <w:r w:rsidR="008E1269">
        <w:rPr>
          <w:rFonts w:ascii="Arial" w:hAnsi="Arial" w:cs="Arial"/>
          <w:bCs/>
        </w:rPr>
        <w:t>e</w:t>
      </w:r>
      <w:r>
        <w:rPr>
          <w:rFonts w:ascii="Arial" w:hAnsi="Arial" w:cs="Arial"/>
          <w:bCs/>
        </w:rPr>
        <w:t xml:space="preserve">specially </w:t>
      </w:r>
      <w:r w:rsidR="005E6834">
        <w:rPr>
          <w:rFonts w:ascii="Arial" w:hAnsi="Arial" w:cs="Arial"/>
          <w:bCs/>
        </w:rPr>
        <w:t xml:space="preserve">apparent with </w:t>
      </w:r>
      <w:r>
        <w:rPr>
          <w:rFonts w:ascii="Arial" w:hAnsi="Arial" w:cs="Arial"/>
          <w:bCs/>
        </w:rPr>
        <w:t>the “Heads of Firm”</w:t>
      </w:r>
      <w:r w:rsidR="005E6834">
        <w:rPr>
          <w:rFonts w:ascii="Arial" w:hAnsi="Arial" w:cs="Arial"/>
          <w:bCs/>
        </w:rPr>
        <w:t xml:space="preserve"> system</w:t>
      </w:r>
      <w:r>
        <w:rPr>
          <w:rFonts w:ascii="Arial" w:hAnsi="Arial" w:cs="Arial"/>
          <w:bCs/>
        </w:rPr>
        <w:t xml:space="preserve"> which both staff and students spoke very highly of</w:t>
      </w:r>
      <w:r w:rsidR="00C93AFA">
        <w:rPr>
          <w:rFonts w:ascii="Arial" w:hAnsi="Arial" w:cs="Arial"/>
          <w:bCs/>
        </w:rPr>
        <w:t xml:space="preserve"> as an extra layer of </w:t>
      </w:r>
      <w:r w:rsidR="00345DEC">
        <w:rPr>
          <w:rFonts w:ascii="Arial" w:hAnsi="Arial" w:cs="Arial"/>
          <w:bCs/>
        </w:rPr>
        <w:t xml:space="preserve">both </w:t>
      </w:r>
      <w:r w:rsidR="00C93AFA">
        <w:rPr>
          <w:rFonts w:ascii="Arial" w:hAnsi="Arial" w:cs="Arial"/>
          <w:bCs/>
        </w:rPr>
        <w:t>supervision and academic and pastoral support</w:t>
      </w:r>
      <w:r>
        <w:rPr>
          <w:rFonts w:ascii="Arial" w:hAnsi="Arial" w:cs="Arial"/>
          <w:bCs/>
        </w:rPr>
        <w:t xml:space="preserve">. </w:t>
      </w:r>
    </w:p>
    <w:p w14:paraId="5C21C703" w14:textId="7510AFAA" w:rsidR="00CB0572" w:rsidRDefault="00CB0572" w:rsidP="00CB0572">
      <w:pPr>
        <w:rPr>
          <w:rFonts w:ascii="Arial" w:hAnsi="Arial" w:cs="Arial"/>
          <w:bCs/>
        </w:rPr>
      </w:pPr>
      <w:r>
        <w:rPr>
          <w:rFonts w:ascii="Arial" w:hAnsi="Arial" w:cs="Arial"/>
          <w:bCs/>
        </w:rPr>
        <w:t xml:space="preserve">There is a clear gateway procedure for progressing students onto clinic to see patients. Students have access to phantom heads and simulation before seeing patients. The </w:t>
      </w:r>
      <w:proofErr w:type="gramStart"/>
      <w:r>
        <w:rPr>
          <w:rFonts w:ascii="Arial" w:hAnsi="Arial" w:cs="Arial"/>
          <w:bCs/>
        </w:rPr>
        <w:t>School</w:t>
      </w:r>
      <w:proofErr w:type="gramEnd"/>
      <w:r>
        <w:rPr>
          <w:rFonts w:ascii="Arial" w:hAnsi="Arial" w:cs="Arial"/>
          <w:bCs/>
        </w:rPr>
        <w:t xml:space="preserve"> utilises CAFS</w:t>
      </w:r>
      <w:r w:rsidR="005E6834">
        <w:rPr>
          <w:rFonts w:ascii="Arial" w:hAnsi="Arial" w:cs="Arial"/>
          <w:bCs/>
        </w:rPr>
        <w:t xml:space="preserve"> effectively</w:t>
      </w:r>
      <w:r>
        <w:rPr>
          <w:rFonts w:ascii="Arial" w:hAnsi="Arial" w:cs="Arial"/>
          <w:bCs/>
        </w:rPr>
        <w:t xml:space="preserve"> to show student attainment as well as longitudinal progression, capturing both academic</w:t>
      </w:r>
      <w:r w:rsidR="001146C8">
        <w:rPr>
          <w:rFonts w:ascii="Arial" w:hAnsi="Arial" w:cs="Arial"/>
          <w:bCs/>
        </w:rPr>
        <w:t xml:space="preserve"> skill</w:t>
      </w:r>
      <w:r>
        <w:rPr>
          <w:rFonts w:ascii="Arial" w:hAnsi="Arial" w:cs="Arial"/>
          <w:bCs/>
        </w:rPr>
        <w:t xml:space="preserve"> and professionalism.</w:t>
      </w:r>
    </w:p>
    <w:p w14:paraId="050DD13E" w14:textId="03E091DA" w:rsidR="003F48DD" w:rsidRDefault="003F48DD" w:rsidP="00CB0572">
      <w:pPr>
        <w:rPr>
          <w:rFonts w:ascii="Arial" w:hAnsi="Arial" w:cs="Arial"/>
          <w:bCs/>
        </w:rPr>
      </w:pPr>
      <w:r>
        <w:rPr>
          <w:rFonts w:ascii="Arial" w:hAnsi="Arial" w:cs="Arial"/>
          <w:bCs/>
        </w:rPr>
        <w:t xml:space="preserve">The </w:t>
      </w:r>
      <w:proofErr w:type="gramStart"/>
      <w:r>
        <w:rPr>
          <w:rFonts w:ascii="Arial" w:hAnsi="Arial" w:cs="Arial"/>
          <w:bCs/>
        </w:rPr>
        <w:t>School</w:t>
      </w:r>
      <w:proofErr w:type="gramEnd"/>
      <w:r>
        <w:rPr>
          <w:rFonts w:ascii="Arial" w:hAnsi="Arial" w:cs="Arial"/>
          <w:bCs/>
        </w:rPr>
        <w:t xml:space="preserve"> deserves </w:t>
      </w:r>
      <w:r w:rsidR="00B009B7">
        <w:rPr>
          <w:rFonts w:ascii="Arial" w:hAnsi="Arial" w:cs="Arial"/>
          <w:bCs/>
        </w:rPr>
        <w:t>recognition</w:t>
      </w:r>
      <w:r>
        <w:rPr>
          <w:rFonts w:ascii="Arial" w:hAnsi="Arial" w:cs="Arial"/>
          <w:bCs/>
        </w:rPr>
        <w:t xml:space="preserve"> for the way it utilises feedback from</w:t>
      </w:r>
      <w:r w:rsidR="001146C8">
        <w:rPr>
          <w:rFonts w:ascii="Arial" w:hAnsi="Arial" w:cs="Arial"/>
          <w:bCs/>
        </w:rPr>
        <w:t xml:space="preserve"> multiple</w:t>
      </w:r>
      <w:r>
        <w:rPr>
          <w:rFonts w:ascii="Arial" w:hAnsi="Arial" w:cs="Arial"/>
          <w:bCs/>
        </w:rPr>
        <w:t xml:space="preserve"> sources</w:t>
      </w:r>
      <w:r w:rsidR="0074339B">
        <w:rPr>
          <w:rFonts w:ascii="Arial" w:hAnsi="Arial" w:cs="Arial"/>
          <w:bCs/>
        </w:rPr>
        <w:t xml:space="preserve"> including staff, students and patients</w:t>
      </w:r>
      <w:r>
        <w:rPr>
          <w:rFonts w:ascii="Arial" w:hAnsi="Arial" w:cs="Arial"/>
          <w:bCs/>
        </w:rPr>
        <w:t xml:space="preserve">. Students spoke of how their </w:t>
      </w:r>
      <w:r w:rsidR="0074339B">
        <w:rPr>
          <w:rFonts w:ascii="Arial" w:hAnsi="Arial" w:cs="Arial"/>
          <w:bCs/>
        </w:rPr>
        <w:t>feedback</w:t>
      </w:r>
      <w:r>
        <w:rPr>
          <w:rFonts w:ascii="Arial" w:hAnsi="Arial" w:cs="Arial"/>
          <w:bCs/>
        </w:rPr>
        <w:t xml:space="preserve"> had been acted upon. </w:t>
      </w:r>
    </w:p>
    <w:p w14:paraId="6DED40CF" w14:textId="23196C1E" w:rsidR="003B5AC3" w:rsidRDefault="003B5AC3" w:rsidP="00CB0572">
      <w:pPr>
        <w:spacing w:after="0" w:line="240" w:lineRule="auto"/>
        <w:rPr>
          <w:rFonts w:ascii="Arial" w:hAnsi="Arial" w:cs="Arial"/>
          <w:bCs/>
        </w:rPr>
      </w:pPr>
      <w:r>
        <w:rPr>
          <w:rFonts w:ascii="Arial" w:hAnsi="Arial" w:cs="Arial"/>
          <w:bCs/>
        </w:rPr>
        <w:t xml:space="preserve">Credit must also be given to the way the </w:t>
      </w:r>
      <w:proofErr w:type="gramStart"/>
      <w:r w:rsidR="005012CA">
        <w:rPr>
          <w:rFonts w:ascii="Arial" w:hAnsi="Arial" w:cs="Arial"/>
          <w:bCs/>
        </w:rPr>
        <w:t>S</w:t>
      </w:r>
      <w:r>
        <w:rPr>
          <w:rFonts w:ascii="Arial" w:hAnsi="Arial" w:cs="Arial"/>
          <w:bCs/>
        </w:rPr>
        <w:t>chool</w:t>
      </w:r>
      <w:proofErr w:type="gramEnd"/>
      <w:r>
        <w:rPr>
          <w:rFonts w:ascii="Arial" w:hAnsi="Arial" w:cs="Arial"/>
          <w:bCs/>
        </w:rPr>
        <w:t xml:space="preserve"> </w:t>
      </w:r>
      <w:r w:rsidR="00D83A0C">
        <w:rPr>
          <w:rFonts w:ascii="Arial" w:hAnsi="Arial" w:cs="Arial"/>
          <w:bCs/>
        </w:rPr>
        <w:t>show</w:t>
      </w:r>
      <w:r w:rsidR="008B21F6">
        <w:rPr>
          <w:rFonts w:ascii="Arial" w:hAnsi="Arial" w:cs="Arial"/>
          <w:bCs/>
        </w:rPr>
        <w:t>s</w:t>
      </w:r>
      <w:r w:rsidR="00D83A0C">
        <w:rPr>
          <w:rFonts w:ascii="Arial" w:hAnsi="Arial" w:cs="Arial"/>
          <w:bCs/>
        </w:rPr>
        <w:t xml:space="preserve"> a commitment to </w:t>
      </w:r>
      <w:r>
        <w:rPr>
          <w:rFonts w:ascii="Arial" w:hAnsi="Arial" w:cs="Arial"/>
          <w:bCs/>
        </w:rPr>
        <w:t>prepar</w:t>
      </w:r>
      <w:r w:rsidR="00D83A0C">
        <w:rPr>
          <w:rFonts w:ascii="Arial" w:hAnsi="Arial" w:cs="Arial"/>
          <w:bCs/>
        </w:rPr>
        <w:t xml:space="preserve">ing </w:t>
      </w:r>
      <w:r w:rsidR="008B21F6">
        <w:rPr>
          <w:rFonts w:ascii="Arial" w:hAnsi="Arial" w:cs="Arial"/>
          <w:bCs/>
        </w:rPr>
        <w:t>its</w:t>
      </w:r>
      <w:r>
        <w:rPr>
          <w:rFonts w:ascii="Arial" w:hAnsi="Arial" w:cs="Arial"/>
          <w:bCs/>
        </w:rPr>
        <w:t xml:space="preserve"> students for graduation, with former students returning to the school annual</w:t>
      </w:r>
      <w:r w:rsidR="00D83A0C">
        <w:rPr>
          <w:rFonts w:ascii="Arial" w:hAnsi="Arial" w:cs="Arial"/>
          <w:bCs/>
        </w:rPr>
        <w:t>ly</w:t>
      </w:r>
      <w:r>
        <w:rPr>
          <w:rFonts w:ascii="Arial" w:hAnsi="Arial" w:cs="Arial"/>
          <w:bCs/>
        </w:rPr>
        <w:t xml:space="preserve"> to discuss with current students </w:t>
      </w:r>
      <w:r w:rsidR="004C358C">
        <w:rPr>
          <w:rFonts w:ascii="Arial" w:hAnsi="Arial" w:cs="Arial"/>
          <w:bCs/>
        </w:rPr>
        <w:t>their</w:t>
      </w:r>
      <w:r w:rsidR="00D83A0C">
        <w:rPr>
          <w:rFonts w:ascii="Arial" w:hAnsi="Arial" w:cs="Arial"/>
          <w:bCs/>
        </w:rPr>
        <w:t xml:space="preserve"> experience in </w:t>
      </w:r>
      <w:r>
        <w:rPr>
          <w:rFonts w:ascii="Arial" w:hAnsi="Arial" w:cs="Arial"/>
          <w:bCs/>
        </w:rPr>
        <w:t>areas such as Foundation Training and working in practice.</w:t>
      </w:r>
    </w:p>
    <w:p w14:paraId="6B23A3CE" w14:textId="77777777" w:rsidR="00E72612" w:rsidRDefault="00E72612" w:rsidP="00CB0572">
      <w:pPr>
        <w:spacing w:after="0" w:line="240" w:lineRule="auto"/>
        <w:rPr>
          <w:rFonts w:ascii="Arial" w:hAnsi="Arial" w:cs="Arial"/>
          <w:bCs/>
        </w:rPr>
      </w:pPr>
    </w:p>
    <w:p w14:paraId="3EAD92A1" w14:textId="683E2A9A" w:rsidR="00E72612" w:rsidRDefault="00E72612" w:rsidP="00E72612">
      <w:pPr>
        <w:spacing w:after="0" w:line="240" w:lineRule="auto"/>
        <w:rPr>
          <w:rFonts w:ascii="Arial" w:hAnsi="Arial" w:cs="Arial"/>
          <w:bCs/>
        </w:rPr>
      </w:pPr>
      <w:r>
        <w:rPr>
          <w:rFonts w:ascii="Arial" w:hAnsi="Arial" w:cs="Arial"/>
          <w:bCs/>
        </w:rPr>
        <w:t xml:space="preserve">The programme operates within a comprehensive Quality Assurance (QA) framework which is embedded within the University’s overarching QA policies. The programme team are striving for continuous improvement and the recent curriculum review demonstrated there has been acknowledgement of the safe practitioner framework. The External Examiners (EE) play a key role in maintaining the quality of the programme and commented on the high standards and quality, as well as the recognition of feedback provided. The involvement of </w:t>
      </w:r>
      <w:r w:rsidR="008B21F6">
        <w:rPr>
          <w:rFonts w:ascii="Arial" w:hAnsi="Arial" w:cs="Arial"/>
          <w:bCs/>
        </w:rPr>
        <w:t>s</w:t>
      </w:r>
      <w:r>
        <w:rPr>
          <w:rFonts w:ascii="Arial" w:hAnsi="Arial" w:cs="Arial"/>
          <w:bCs/>
        </w:rPr>
        <w:t xml:space="preserve">tudents in EE processes is valuable to the </w:t>
      </w:r>
      <w:proofErr w:type="gramStart"/>
      <w:r w:rsidR="00013A4A">
        <w:rPr>
          <w:rFonts w:ascii="Arial" w:hAnsi="Arial" w:cs="Arial"/>
          <w:bCs/>
        </w:rPr>
        <w:t>S</w:t>
      </w:r>
      <w:r>
        <w:rPr>
          <w:rFonts w:ascii="Arial" w:hAnsi="Arial" w:cs="Arial"/>
          <w:bCs/>
        </w:rPr>
        <w:t>chool</w:t>
      </w:r>
      <w:proofErr w:type="gramEnd"/>
      <w:r>
        <w:rPr>
          <w:rFonts w:ascii="Arial" w:hAnsi="Arial" w:cs="Arial"/>
          <w:bCs/>
        </w:rPr>
        <w:t>, and the EE’s commented on how much they value the opportunity to meet with students. Students being involved in the QA of the programme allows for transparency and understanding of assessments.</w:t>
      </w:r>
    </w:p>
    <w:p w14:paraId="23DF10C4" w14:textId="77777777" w:rsidR="00E72612" w:rsidRDefault="00E72612" w:rsidP="00E72612">
      <w:pPr>
        <w:spacing w:after="0" w:line="240" w:lineRule="auto"/>
        <w:rPr>
          <w:rFonts w:ascii="Arial" w:hAnsi="Arial" w:cs="Arial"/>
          <w:bCs/>
        </w:rPr>
      </w:pPr>
    </w:p>
    <w:p w14:paraId="3F9306B8" w14:textId="62D4C58F" w:rsidR="00E72612" w:rsidRDefault="00E72612" w:rsidP="00E92BEE">
      <w:pPr>
        <w:rPr>
          <w:rFonts w:ascii="Arial" w:hAnsi="Arial" w:cs="Arial"/>
          <w:bCs/>
        </w:rPr>
      </w:pPr>
      <w:r>
        <w:rPr>
          <w:rFonts w:ascii="Arial" w:hAnsi="Arial" w:cs="Arial"/>
          <w:bCs/>
        </w:rPr>
        <w:t xml:space="preserve">Students are given </w:t>
      </w:r>
      <w:r w:rsidR="00F40C73">
        <w:rPr>
          <w:rFonts w:ascii="Arial" w:hAnsi="Arial" w:cs="Arial"/>
          <w:bCs/>
        </w:rPr>
        <w:t>exposure</w:t>
      </w:r>
      <w:r>
        <w:rPr>
          <w:rFonts w:ascii="Arial" w:hAnsi="Arial" w:cs="Arial"/>
          <w:bCs/>
        </w:rPr>
        <w:t xml:space="preserve"> to a variety of patients and complexity of treatments, whilst delivering continuous care. This provides a valuable learning experience to </w:t>
      </w:r>
      <w:r w:rsidR="008B21F6">
        <w:rPr>
          <w:rFonts w:ascii="Arial" w:hAnsi="Arial" w:cs="Arial"/>
          <w:bCs/>
        </w:rPr>
        <w:t>s</w:t>
      </w:r>
      <w:r>
        <w:rPr>
          <w:rFonts w:ascii="Arial" w:hAnsi="Arial" w:cs="Arial"/>
          <w:bCs/>
        </w:rPr>
        <w:t xml:space="preserve">tudents, who get to know their patients and deliver care to accommodate all the dental needs of a patient. </w:t>
      </w:r>
      <w:r w:rsidR="004020F7">
        <w:rPr>
          <w:rFonts w:ascii="Arial" w:hAnsi="Arial" w:cs="Arial"/>
          <w:bCs/>
        </w:rPr>
        <w:t>Outreach and specialty exposure is ensuring students get a breadth of clinical experience.</w:t>
      </w:r>
    </w:p>
    <w:p w14:paraId="6C74BF7B" w14:textId="4EDF9650" w:rsidR="0045073C" w:rsidRPr="0084743E" w:rsidRDefault="0045073C" w:rsidP="00E2148E">
      <w:pPr>
        <w:spacing w:after="240" w:line="240" w:lineRule="auto"/>
        <w:rPr>
          <w:rFonts w:ascii="Arial" w:hAnsi="Arial" w:cs="Arial"/>
        </w:rPr>
      </w:pPr>
      <w:r>
        <w:rPr>
          <w:rFonts w:ascii="Arial" w:hAnsi="Arial" w:cs="Arial"/>
        </w:rPr>
        <w:t xml:space="preserve">The </w:t>
      </w:r>
      <w:r w:rsidR="009536B9">
        <w:rPr>
          <w:rFonts w:ascii="Arial" w:hAnsi="Arial" w:cs="Arial"/>
        </w:rPr>
        <w:t xml:space="preserve">Inspection Panel (hereafter referred to as “the panel”) </w:t>
      </w:r>
      <w:r w:rsidR="005E172A">
        <w:rPr>
          <w:rFonts w:ascii="Arial" w:hAnsi="Arial" w:cs="Arial"/>
        </w:rPr>
        <w:t>w</w:t>
      </w:r>
      <w:r w:rsidR="00560202">
        <w:rPr>
          <w:rFonts w:ascii="Arial" w:hAnsi="Arial" w:cs="Arial"/>
        </w:rPr>
        <w:t>as</w:t>
      </w:r>
      <w:r w:rsidR="005E172A">
        <w:rPr>
          <w:rFonts w:ascii="Arial" w:hAnsi="Arial" w:cs="Arial"/>
        </w:rPr>
        <w:t xml:space="preserve"> satisfied by the</w:t>
      </w:r>
      <w:r w:rsidR="00AB0AAF">
        <w:rPr>
          <w:rFonts w:ascii="Arial" w:hAnsi="Arial" w:cs="Arial"/>
        </w:rPr>
        <w:t xml:space="preserve"> full and complete</w:t>
      </w:r>
      <w:r w:rsidR="005E172A">
        <w:rPr>
          <w:rFonts w:ascii="Arial" w:hAnsi="Arial" w:cs="Arial"/>
        </w:rPr>
        <w:t xml:space="preserve"> evidence received prior to the inspection and the conversation</w:t>
      </w:r>
      <w:r w:rsidR="00AB0AAF">
        <w:rPr>
          <w:rFonts w:ascii="Arial" w:hAnsi="Arial" w:cs="Arial"/>
        </w:rPr>
        <w:t>s</w:t>
      </w:r>
      <w:r w:rsidR="005E172A">
        <w:rPr>
          <w:rFonts w:ascii="Arial" w:hAnsi="Arial" w:cs="Arial"/>
        </w:rPr>
        <w:t xml:space="preserve"> on the day of the inspection provided further assurance to the quality of the programme. The panel deem all requirements inspected to be “Met”.</w:t>
      </w:r>
    </w:p>
    <w:p w14:paraId="0C57275D" w14:textId="46DBE5B9" w:rsidR="00564251" w:rsidRPr="0084743E" w:rsidRDefault="00564251" w:rsidP="00564251">
      <w:pPr>
        <w:spacing w:after="240" w:line="240" w:lineRule="auto"/>
        <w:rPr>
          <w:rFonts w:ascii="Arial" w:hAnsi="Arial" w:cs="Arial"/>
        </w:rPr>
      </w:pPr>
      <w:r w:rsidRPr="0084743E">
        <w:rPr>
          <w:rFonts w:ascii="Arial" w:hAnsi="Arial" w:cs="Arial"/>
        </w:rPr>
        <w:t xml:space="preserve">The GDC wishes to thank the staff, students, and external stakeholders involved with the </w:t>
      </w:r>
      <w:r w:rsidR="000D3EF0">
        <w:rPr>
          <w:rFonts w:ascii="Arial" w:hAnsi="Arial" w:cs="Arial"/>
        </w:rPr>
        <w:t xml:space="preserve">BDS </w:t>
      </w:r>
      <w:r w:rsidRPr="0084743E">
        <w:rPr>
          <w:rFonts w:ascii="Arial" w:hAnsi="Arial" w:cs="Arial"/>
        </w:rPr>
        <w:t>for their co-operation and assistance with the inspection.</w:t>
      </w:r>
    </w:p>
    <w:p w14:paraId="35F3D784" w14:textId="77777777" w:rsidR="00767F91" w:rsidRDefault="00767F91">
      <w:pPr>
        <w:rPr>
          <w:rFonts w:ascii="Arial" w:hAnsi="Arial" w:cs="Arial"/>
          <w:b/>
          <w:color w:val="244061"/>
          <w:sz w:val="28"/>
          <w:szCs w:val="28"/>
        </w:rPr>
      </w:pPr>
    </w:p>
    <w:p w14:paraId="2180ED29" w14:textId="77777777" w:rsidR="00767F91" w:rsidRDefault="00767F91">
      <w:pPr>
        <w:rPr>
          <w:rFonts w:ascii="Arial" w:hAnsi="Arial" w:cs="Arial"/>
          <w:b/>
          <w:color w:val="244061"/>
          <w:sz w:val="28"/>
          <w:szCs w:val="28"/>
        </w:rPr>
      </w:pPr>
    </w:p>
    <w:p w14:paraId="37C73F73" w14:textId="57CE59D7" w:rsidR="00E2148E" w:rsidRPr="0084743E" w:rsidRDefault="00F671FD" w:rsidP="00E2148E">
      <w:pPr>
        <w:rPr>
          <w:rFonts w:ascii="Arial" w:hAnsi="Arial" w:cs="Arial"/>
          <w:b/>
          <w:color w:val="244061"/>
          <w:sz w:val="28"/>
          <w:szCs w:val="28"/>
        </w:rPr>
      </w:pPr>
      <w:r w:rsidRPr="0084743E">
        <w:rPr>
          <w:rFonts w:ascii="Arial" w:hAnsi="Arial" w:cs="Arial"/>
          <w:b/>
          <w:color w:val="244061"/>
          <w:sz w:val="28"/>
          <w:szCs w:val="28"/>
        </w:rPr>
        <w:br w:type="page"/>
      </w:r>
      <w:r w:rsidR="00E2148E" w:rsidRPr="0084743E">
        <w:rPr>
          <w:rFonts w:ascii="Arial" w:hAnsi="Arial" w:cs="Arial"/>
          <w:b/>
          <w:color w:val="244061"/>
          <w:sz w:val="28"/>
          <w:szCs w:val="28"/>
        </w:rPr>
        <w:lastRenderedPageBreak/>
        <w:t xml:space="preserve">Background and overview of </w:t>
      </w:r>
      <w:r w:rsidR="000957F1" w:rsidRPr="0084743E">
        <w:rPr>
          <w:rFonts w:ascii="Arial" w:hAnsi="Arial" w:cs="Arial"/>
          <w:b/>
          <w:color w:val="244061"/>
          <w:sz w:val="28"/>
          <w:szCs w:val="28"/>
        </w:rPr>
        <w:t>q</w:t>
      </w:r>
      <w:r w:rsidR="00E2148E" w:rsidRPr="0084743E">
        <w:rPr>
          <w:rFonts w:ascii="Arial" w:hAnsi="Arial" w:cs="Arial"/>
          <w:b/>
          <w:color w:val="244061"/>
          <w:sz w:val="28"/>
          <w:szCs w:val="28"/>
        </w:rPr>
        <w:t>ualification</w:t>
      </w:r>
    </w:p>
    <w:tbl>
      <w:tblPr>
        <w:tblStyle w:val="TableGrid"/>
        <w:tblW w:w="0" w:type="auto"/>
        <w:tblLook w:val="04A0" w:firstRow="1" w:lastRow="0" w:firstColumn="1" w:lastColumn="0" w:noHBand="0" w:noVBand="1"/>
      </w:tblPr>
      <w:tblGrid>
        <w:gridCol w:w="2830"/>
        <w:gridCol w:w="6186"/>
      </w:tblGrid>
      <w:tr w:rsidR="00E2148E" w:rsidRPr="0084743E" w14:paraId="0984E13C" w14:textId="77777777" w:rsidTr="00AC1360">
        <w:tc>
          <w:tcPr>
            <w:tcW w:w="2830" w:type="dxa"/>
          </w:tcPr>
          <w:p w14:paraId="71D9EAC0" w14:textId="77777777" w:rsidR="00E2148E" w:rsidRPr="0084743E" w:rsidRDefault="00E2148E" w:rsidP="008C71F3">
            <w:pPr>
              <w:rPr>
                <w:rFonts w:ascii="Arial" w:hAnsi="Arial" w:cs="Arial"/>
              </w:rPr>
            </w:pPr>
            <w:r w:rsidRPr="0084743E">
              <w:rPr>
                <w:rFonts w:ascii="Arial" w:hAnsi="Arial" w:cs="Arial"/>
              </w:rPr>
              <w:t>Annual intake</w:t>
            </w:r>
          </w:p>
        </w:tc>
        <w:tc>
          <w:tcPr>
            <w:tcW w:w="6186" w:type="dxa"/>
          </w:tcPr>
          <w:p w14:paraId="500FCEFF" w14:textId="25D9A343" w:rsidR="00E2148E" w:rsidRPr="0084743E" w:rsidRDefault="00604EF8" w:rsidP="008C71F3">
            <w:pPr>
              <w:rPr>
                <w:rFonts w:ascii="Arial" w:hAnsi="Arial" w:cs="Arial"/>
              </w:rPr>
            </w:pPr>
            <w:r w:rsidRPr="00604EF8">
              <w:rPr>
                <w:rFonts w:ascii="Arial" w:hAnsi="Arial" w:cs="Arial"/>
              </w:rPr>
              <w:t xml:space="preserve">Approximately 70 students (usually 71 but rolling </w:t>
            </w:r>
            <w:proofErr w:type="gramStart"/>
            <w:r w:rsidRPr="00604EF8">
              <w:rPr>
                <w:rFonts w:ascii="Arial" w:hAnsi="Arial" w:cs="Arial"/>
              </w:rPr>
              <w:t>5 year</w:t>
            </w:r>
            <w:proofErr w:type="gramEnd"/>
            <w:r w:rsidRPr="00604EF8">
              <w:rPr>
                <w:rFonts w:ascii="Arial" w:hAnsi="Arial" w:cs="Arial"/>
              </w:rPr>
              <w:t xml:space="preserve"> cap means minor adjustments annually)</w:t>
            </w:r>
          </w:p>
        </w:tc>
      </w:tr>
      <w:tr w:rsidR="00E2148E" w:rsidRPr="0084743E" w14:paraId="21851DCB" w14:textId="77777777" w:rsidTr="00AC1360">
        <w:tc>
          <w:tcPr>
            <w:tcW w:w="2830" w:type="dxa"/>
          </w:tcPr>
          <w:p w14:paraId="49C1710B" w14:textId="77777777" w:rsidR="00E2148E" w:rsidRPr="0084743E" w:rsidRDefault="00E2148E" w:rsidP="008C71F3">
            <w:pPr>
              <w:rPr>
                <w:rFonts w:ascii="Arial" w:hAnsi="Arial" w:cs="Arial"/>
              </w:rPr>
            </w:pPr>
            <w:r w:rsidRPr="0084743E">
              <w:rPr>
                <w:rFonts w:ascii="Arial" w:hAnsi="Arial" w:cs="Arial"/>
              </w:rPr>
              <w:t>Programme duration</w:t>
            </w:r>
          </w:p>
        </w:tc>
        <w:tc>
          <w:tcPr>
            <w:tcW w:w="6186" w:type="dxa"/>
          </w:tcPr>
          <w:p w14:paraId="1D1AA052" w14:textId="39BBFBAE" w:rsidR="00E2148E" w:rsidRPr="0084743E" w:rsidRDefault="00604EF8" w:rsidP="008C71F3">
            <w:pPr>
              <w:rPr>
                <w:rFonts w:ascii="Arial" w:hAnsi="Arial" w:cs="Arial"/>
              </w:rPr>
            </w:pPr>
            <w:r>
              <w:rPr>
                <w:rFonts w:ascii="Arial" w:hAnsi="Arial" w:cs="Arial"/>
              </w:rPr>
              <w:t>5 years</w:t>
            </w:r>
          </w:p>
        </w:tc>
      </w:tr>
      <w:tr w:rsidR="00E2148E" w:rsidRPr="0084743E" w14:paraId="66A1D4C6" w14:textId="77777777" w:rsidTr="00AC1360">
        <w:tc>
          <w:tcPr>
            <w:tcW w:w="2830" w:type="dxa"/>
          </w:tcPr>
          <w:p w14:paraId="0AD4AA79" w14:textId="77777777" w:rsidR="00E2148E" w:rsidRPr="0084743E" w:rsidRDefault="00E2148E" w:rsidP="008C71F3">
            <w:pPr>
              <w:rPr>
                <w:rFonts w:ascii="Arial" w:hAnsi="Arial" w:cs="Arial"/>
              </w:rPr>
            </w:pPr>
            <w:r w:rsidRPr="0084743E">
              <w:rPr>
                <w:rFonts w:ascii="Arial" w:hAnsi="Arial" w:cs="Arial"/>
              </w:rPr>
              <w:t>Format of programme</w:t>
            </w:r>
          </w:p>
        </w:tc>
        <w:tc>
          <w:tcPr>
            <w:tcW w:w="6186" w:type="dxa"/>
          </w:tcPr>
          <w:p w14:paraId="07EBB3FD" w14:textId="13489D62" w:rsidR="00161EA4" w:rsidRPr="00161EA4" w:rsidRDefault="00161EA4" w:rsidP="00161EA4">
            <w:pPr>
              <w:rPr>
                <w:rFonts w:ascii="Arial" w:hAnsi="Arial" w:cs="Arial"/>
              </w:rPr>
            </w:pPr>
            <w:r>
              <w:rPr>
                <w:rFonts w:ascii="Arial" w:hAnsi="Arial" w:cs="Arial"/>
              </w:rPr>
              <w:t xml:space="preserve">Year </w:t>
            </w:r>
            <w:r w:rsidRPr="00161EA4">
              <w:rPr>
                <w:rFonts w:ascii="Arial" w:hAnsi="Arial" w:cs="Arial"/>
              </w:rPr>
              <w:t>1: Health sciences knowledge relevant to Dentistry, clinic attendance, shadowing.</w:t>
            </w:r>
          </w:p>
          <w:p w14:paraId="7864B11F" w14:textId="5E9008F0" w:rsidR="00161EA4" w:rsidRPr="00161EA4" w:rsidRDefault="00161EA4" w:rsidP="00161EA4">
            <w:pPr>
              <w:rPr>
                <w:rFonts w:ascii="Arial" w:hAnsi="Arial" w:cs="Arial"/>
              </w:rPr>
            </w:pPr>
            <w:r>
              <w:rPr>
                <w:rFonts w:ascii="Arial" w:hAnsi="Arial" w:cs="Arial"/>
              </w:rPr>
              <w:t xml:space="preserve">Year </w:t>
            </w:r>
            <w:r w:rsidRPr="00161EA4">
              <w:rPr>
                <w:rFonts w:ascii="Arial" w:hAnsi="Arial" w:cs="Arial"/>
              </w:rPr>
              <w:t xml:space="preserve">2: Build upon Y1 knowledge and simulated clinical experience, patient care begins in </w:t>
            </w:r>
            <w:proofErr w:type="gramStart"/>
            <w:r w:rsidRPr="00161EA4">
              <w:rPr>
                <w:rFonts w:ascii="Arial" w:hAnsi="Arial" w:cs="Arial"/>
              </w:rPr>
              <w:t>Summer</w:t>
            </w:r>
            <w:proofErr w:type="gramEnd"/>
            <w:r w:rsidRPr="00161EA4">
              <w:rPr>
                <w:rFonts w:ascii="Arial" w:hAnsi="Arial" w:cs="Arial"/>
              </w:rPr>
              <w:t xml:space="preserve"> term (subject to gateway competency assessments being completed), specialty clinics</w:t>
            </w:r>
          </w:p>
          <w:p w14:paraId="49EBE5A7" w14:textId="2709EF16" w:rsidR="00161EA4" w:rsidRPr="00161EA4" w:rsidRDefault="00161EA4" w:rsidP="00161EA4">
            <w:pPr>
              <w:rPr>
                <w:rFonts w:ascii="Arial" w:hAnsi="Arial" w:cs="Arial"/>
              </w:rPr>
            </w:pPr>
            <w:r>
              <w:rPr>
                <w:rFonts w:ascii="Arial" w:hAnsi="Arial" w:cs="Arial"/>
              </w:rPr>
              <w:t xml:space="preserve">Year </w:t>
            </w:r>
            <w:r w:rsidRPr="00161EA4">
              <w:rPr>
                <w:rFonts w:ascii="Arial" w:hAnsi="Arial" w:cs="Arial"/>
              </w:rPr>
              <w:t>3: Knowledge in systemic disease to underpin safe patient care, integrated clinical practice and restorative speciality patient treatment, observations</w:t>
            </w:r>
          </w:p>
          <w:p w14:paraId="41514A72" w14:textId="0D0590A1" w:rsidR="00E2148E" w:rsidRPr="0084743E" w:rsidRDefault="00161EA4" w:rsidP="00161EA4">
            <w:pPr>
              <w:rPr>
                <w:rFonts w:ascii="Arial" w:hAnsi="Arial" w:cs="Arial"/>
              </w:rPr>
            </w:pPr>
            <w:r>
              <w:rPr>
                <w:rFonts w:ascii="Arial" w:hAnsi="Arial" w:cs="Arial"/>
              </w:rPr>
              <w:t xml:space="preserve">Years </w:t>
            </w:r>
            <w:r w:rsidRPr="00161EA4">
              <w:rPr>
                <w:rFonts w:ascii="Arial" w:hAnsi="Arial" w:cs="Arial"/>
              </w:rPr>
              <w:t>4-5: Building on clinical experience through integrated clinical practice and advanced speciality patient treatment, observations, outreach</w:t>
            </w:r>
          </w:p>
        </w:tc>
      </w:tr>
      <w:tr w:rsidR="00E2148E" w:rsidRPr="0084743E" w14:paraId="6266D366" w14:textId="77777777" w:rsidTr="00AC1360">
        <w:tc>
          <w:tcPr>
            <w:tcW w:w="2830" w:type="dxa"/>
          </w:tcPr>
          <w:p w14:paraId="696C9634" w14:textId="4CB68B22" w:rsidR="00E2148E" w:rsidRPr="0084743E" w:rsidRDefault="00E2148E" w:rsidP="008C71F3">
            <w:pPr>
              <w:rPr>
                <w:rFonts w:ascii="Arial" w:hAnsi="Arial" w:cs="Arial"/>
              </w:rPr>
            </w:pPr>
            <w:r w:rsidRPr="0084743E">
              <w:rPr>
                <w:rFonts w:ascii="Arial" w:hAnsi="Arial" w:cs="Arial"/>
              </w:rPr>
              <w:t>Number of providers delivering the programme</w:t>
            </w:r>
            <w:r w:rsidR="00DB0397" w:rsidRPr="0084743E">
              <w:rPr>
                <w:rFonts w:ascii="Arial" w:hAnsi="Arial" w:cs="Arial"/>
              </w:rPr>
              <w:t xml:space="preserve"> </w:t>
            </w:r>
          </w:p>
        </w:tc>
        <w:tc>
          <w:tcPr>
            <w:tcW w:w="6186" w:type="dxa"/>
          </w:tcPr>
          <w:p w14:paraId="05CB46C6" w14:textId="3A53A024" w:rsidR="00E2148E" w:rsidRPr="0084743E" w:rsidRDefault="00161EA4" w:rsidP="008C71F3">
            <w:pPr>
              <w:rPr>
                <w:rFonts w:ascii="Arial" w:hAnsi="Arial" w:cs="Arial"/>
              </w:rPr>
            </w:pPr>
            <w:r w:rsidRPr="00161EA4">
              <w:rPr>
                <w:rFonts w:ascii="Arial" w:hAnsi="Arial" w:cs="Arial"/>
              </w:rPr>
              <w:t>1</w:t>
            </w:r>
            <w:r w:rsidR="00593442" w:rsidRPr="0084743E">
              <w:rPr>
                <w:rFonts w:ascii="Arial" w:hAnsi="Arial" w:cs="Arial"/>
                <w:highlight w:val="yellow"/>
              </w:rPr>
              <w:t xml:space="preserve"> </w:t>
            </w:r>
          </w:p>
        </w:tc>
      </w:tr>
    </w:tbl>
    <w:p w14:paraId="1DC8D61C" w14:textId="77777777" w:rsidR="00E2148E" w:rsidRPr="0084743E" w:rsidRDefault="00E2148E" w:rsidP="00E2148E">
      <w:pPr>
        <w:spacing w:after="240" w:line="240" w:lineRule="auto"/>
        <w:rPr>
          <w:rFonts w:ascii="Arial" w:hAnsi="Arial" w:cs="Arial"/>
        </w:rPr>
      </w:pPr>
    </w:p>
    <w:p w14:paraId="47398EDA" w14:textId="77777777" w:rsidR="00E2148E" w:rsidRPr="0084743E" w:rsidRDefault="00E2148E" w:rsidP="00E2148E">
      <w:pPr>
        <w:rPr>
          <w:rFonts w:ascii="Arial" w:hAnsi="Arial" w:cs="Arial"/>
        </w:rPr>
      </w:pPr>
      <w:r w:rsidRPr="0084743E">
        <w:rPr>
          <w:rFonts w:ascii="Arial" w:hAnsi="Arial" w:cs="Arial"/>
        </w:rPr>
        <w:br w:type="page"/>
      </w:r>
    </w:p>
    <w:p w14:paraId="6F542D3F" w14:textId="0DF7EEA0" w:rsidR="000957F1" w:rsidRPr="0084743E" w:rsidRDefault="00F671FD" w:rsidP="00E2148E">
      <w:pPr>
        <w:rPr>
          <w:rFonts w:ascii="Arial" w:hAnsi="Arial" w:cs="Arial"/>
          <w:color w:val="1F3864" w:themeColor="accent1" w:themeShade="80"/>
          <w:sz w:val="24"/>
        </w:rPr>
      </w:pPr>
      <w:r w:rsidRPr="0084743E">
        <w:rPr>
          <w:rFonts w:ascii="Arial" w:hAnsi="Arial" w:cs="Arial"/>
          <w:b/>
          <w:color w:val="1F3864" w:themeColor="accent1" w:themeShade="80"/>
          <w:sz w:val="28"/>
        </w:rPr>
        <w:lastRenderedPageBreak/>
        <w:t>Outcome of relevant Requirements</w:t>
      </w:r>
      <w:r w:rsidRPr="0084743E">
        <w:rPr>
          <w:rStyle w:val="FootnoteReference"/>
          <w:rFonts w:ascii="Arial" w:hAnsi="Arial" w:cs="Arial"/>
          <w:b/>
          <w:color w:val="1F3864" w:themeColor="accent1" w:themeShade="80"/>
          <w:sz w:val="28"/>
        </w:rPr>
        <w:footnoteReference w:id="1"/>
      </w:r>
    </w:p>
    <w:tbl>
      <w:tblPr>
        <w:tblStyle w:val="TableGrid"/>
        <w:tblW w:w="9464" w:type="dxa"/>
        <w:tblLook w:val="04A0" w:firstRow="1" w:lastRow="0" w:firstColumn="1" w:lastColumn="0" w:noHBand="0" w:noVBand="1"/>
      </w:tblPr>
      <w:tblGrid>
        <w:gridCol w:w="4508"/>
        <w:gridCol w:w="4508"/>
        <w:gridCol w:w="448"/>
      </w:tblGrid>
      <w:tr w:rsidR="00E2148E" w:rsidRPr="0084743E" w14:paraId="76A828C8" w14:textId="77777777" w:rsidTr="7E8039CF">
        <w:trPr>
          <w:gridAfter w:val="1"/>
          <w:wAfter w:w="448" w:type="dxa"/>
        </w:trPr>
        <w:tc>
          <w:tcPr>
            <w:tcW w:w="9016" w:type="dxa"/>
            <w:gridSpan w:val="2"/>
            <w:shd w:val="clear" w:color="auto" w:fill="D9D9D9" w:themeFill="background1" w:themeFillShade="D9"/>
          </w:tcPr>
          <w:p w14:paraId="5C45A3C2" w14:textId="77777777" w:rsidR="00E2148E" w:rsidRPr="0084743E" w:rsidRDefault="00E2148E" w:rsidP="008C71F3">
            <w:pPr>
              <w:jc w:val="center"/>
              <w:rPr>
                <w:rFonts w:ascii="Arial" w:hAnsi="Arial" w:cs="Arial"/>
                <w:b/>
              </w:rPr>
            </w:pPr>
            <w:r w:rsidRPr="0084743E">
              <w:rPr>
                <w:rFonts w:ascii="Arial" w:hAnsi="Arial" w:cs="Arial"/>
                <w:b/>
              </w:rPr>
              <w:t>Standard One</w:t>
            </w:r>
          </w:p>
        </w:tc>
      </w:tr>
      <w:tr w:rsidR="00E2148E" w:rsidRPr="0084743E" w14:paraId="22928EA9" w14:textId="77777777" w:rsidTr="7E8039CF">
        <w:trPr>
          <w:gridAfter w:val="1"/>
          <w:wAfter w:w="448" w:type="dxa"/>
          <w:trHeight w:val="565"/>
        </w:trPr>
        <w:tc>
          <w:tcPr>
            <w:tcW w:w="4508" w:type="dxa"/>
          </w:tcPr>
          <w:p w14:paraId="2C3182A9" w14:textId="77777777" w:rsidR="00E2148E" w:rsidRPr="004F1617" w:rsidRDefault="00E2148E" w:rsidP="008C71F3">
            <w:pPr>
              <w:spacing w:line="276" w:lineRule="auto"/>
              <w:jc w:val="center"/>
              <w:rPr>
                <w:rFonts w:ascii="Arial" w:hAnsi="Arial" w:cs="Arial"/>
                <w:b/>
                <w:bCs/>
              </w:rPr>
            </w:pPr>
            <w:r w:rsidRPr="004F1617">
              <w:rPr>
                <w:rFonts w:ascii="Arial" w:hAnsi="Arial" w:cs="Arial"/>
                <w:b/>
                <w:bCs/>
              </w:rPr>
              <w:t>1</w:t>
            </w:r>
          </w:p>
          <w:p w14:paraId="026E4692" w14:textId="77777777" w:rsidR="00E2148E" w:rsidRPr="004F1617" w:rsidRDefault="00E2148E" w:rsidP="008C71F3">
            <w:pPr>
              <w:spacing w:line="276" w:lineRule="auto"/>
              <w:jc w:val="center"/>
              <w:rPr>
                <w:rFonts w:ascii="Arial" w:hAnsi="Arial" w:cs="Arial"/>
                <w:b/>
                <w:bCs/>
              </w:rPr>
            </w:pPr>
          </w:p>
        </w:tc>
        <w:tc>
          <w:tcPr>
            <w:tcW w:w="4508" w:type="dxa"/>
          </w:tcPr>
          <w:p w14:paraId="65B70E88" w14:textId="32BD6A9B" w:rsidR="00E2148E" w:rsidRPr="004F1617" w:rsidRDefault="00DD6406" w:rsidP="008C71F3">
            <w:pPr>
              <w:jc w:val="center"/>
              <w:rPr>
                <w:rFonts w:ascii="Arial" w:hAnsi="Arial" w:cs="Arial"/>
                <w:b/>
                <w:bCs/>
              </w:rPr>
            </w:pPr>
            <w:r w:rsidRPr="004F1617">
              <w:rPr>
                <w:rFonts w:ascii="Arial" w:hAnsi="Arial" w:cs="Arial"/>
                <w:b/>
                <w:bCs/>
              </w:rPr>
              <w:t>Met</w:t>
            </w:r>
          </w:p>
          <w:p w14:paraId="5B95F2DA" w14:textId="7D08BF06" w:rsidR="00143716" w:rsidRPr="004F1617" w:rsidRDefault="00143716" w:rsidP="008C71F3">
            <w:pPr>
              <w:jc w:val="center"/>
              <w:rPr>
                <w:rFonts w:ascii="Arial" w:hAnsi="Arial" w:cs="Arial"/>
                <w:b/>
                <w:bCs/>
              </w:rPr>
            </w:pPr>
          </w:p>
        </w:tc>
      </w:tr>
      <w:tr w:rsidR="00E2148E" w:rsidRPr="0084743E" w14:paraId="63DA87C0" w14:textId="77777777" w:rsidTr="7E8039CF">
        <w:trPr>
          <w:gridAfter w:val="1"/>
          <w:wAfter w:w="448" w:type="dxa"/>
        </w:trPr>
        <w:tc>
          <w:tcPr>
            <w:tcW w:w="4508" w:type="dxa"/>
          </w:tcPr>
          <w:p w14:paraId="6B779E5E"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2</w:t>
            </w:r>
          </w:p>
          <w:p w14:paraId="67036618" w14:textId="77777777" w:rsidR="00E2148E" w:rsidRPr="000D3EF0" w:rsidRDefault="00E2148E" w:rsidP="008C71F3">
            <w:pPr>
              <w:jc w:val="center"/>
              <w:rPr>
                <w:rFonts w:ascii="Arial" w:hAnsi="Arial" w:cs="Arial"/>
                <w:color w:val="7F7F7F" w:themeColor="text1" w:themeTint="80"/>
              </w:rPr>
            </w:pPr>
          </w:p>
        </w:tc>
        <w:tc>
          <w:tcPr>
            <w:tcW w:w="4508" w:type="dxa"/>
          </w:tcPr>
          <w:p w14:paraId="26CF11CE" w14:textId="5354CF54"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0870A0EE" w14:textId="12387692" w:rsidR="00E2148E" w:rsidRPr="000D3EF0" w:rsidRDefault="00E2148E" w:rsidP="00143716">
            <w:pPr>
              <w:jc w:val="center"/>
              <w:rPr>
                <w:rFonts w:ascii="Arial" w:hAnsi="Arial" w:cs="Arial"/>
                <w:color w:val="7F7F7F" w:themeColor="text1" w:themeTint="80"/>
              </w:rPr>
            </w:pPr>
          </w:p>
        </w:tc>
      </w:tr>
      <w:tr w:rsidR="00E2148E" w:rsidRPr="0084743E" w14:paraId="28AEE4FA" w14:textId="77777777" w:rsidTr="7E8039CF">
        <w:trPr>
          <w:gridAfter w:val="1"/>
          <w:wAfter w:w="448" w:type="dxa"/>
        </w:trPr>
        <w:tc>
          <w:tcPr>
            <w:tcW w:w="4508" w:type="dxa"/>
          </w:tcPr>
          <w:p w14:paraId="5196C0EB"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3</w:t>
            </w:r>
          </w:p>
          <w:p w14:paraId="1F73CDFE" w14:textId="77777777" w:rsidR="00E2148E" w:rsidRPr="000D3EF0" w:rsidRDefault="00E2148E" w:rsidP="008C71F3">
            <w:pPr>
              <w:jc w:val="center"/>
              <w:rPr>
                <w:rFonts w:ascii="Arial" w:hAnsi="Arial" w:cs="Arial"/>
                <w:color w:val="7F7F7F" w:themeColor="text1" w:themeTint="80"/>
              </w:rPr>
            </w:pPr>
          </w:p>
        </w:tc>
        <w:tc>
          <w:tcPr>
            <w:tcW w:w="4508" w:type="dxa"/>
          </w:tcPr>
          <w:p w14:paraId="7D51F3D7" w14:textId="4313A32B"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38B23BDA" w14:textId="748AA14C" w:rsidR="00E2148E" w:rsidRPr="000D3EF0" w:rsidRDefault="00E2148E" w:rsidP="00143716">
            <w:pPr>
              <w:jc w:val="center"/>
              <w:rPr>
                <w:rFonts w:ascii="Arial" w:hAnsi="Arial" w:cs="Arial"/>
                <w:color w:val="7F7F7F" w:themeColor="text1" w:themeTint="80"/>
              </w:rPr>
            </w:pPr>
          </w:p>
        </w:tc>
      </w:tr>
      <w:tr w:rsidR="00E2148E" w:rsidRPr="0084743E" w14:paraId="64B00FE0" w14:textId="77777777" w:rsidTr="7E8039CF">
        <w:trPr>
          <w:gridAfter w:val="1"/>
          <w:wAfter w:w="448" w:type="dxa"/>
        </w:trPr>
        <w:tc>
          <w:tcPr>
            <w:tcW w:w="4508" w:type="dxa"/>
          </w:tcPr>
          <w:p w14:paraId="589308EF" w14:textId="77777777" w:rsidR="00E2148E" w:rsidRPr="004F1617" w:rsidRDefault="00E2148E" w:rsidP="008C71F3">
            <w:pPr>
              <w:jc w:val="center"/>
              <w:rPr>
                <w:rFonts w:ascii="Arial" w:hAnsi="Arial" w:cs="Arial"/>
                <w:b/>
                <w:bCs/>
              </w:rPr>
            </w:pPr>
            <w:r w:rsidRPr="004F1617">
              <w:rPr>
                <w:rFonts w:ascii="Arial" w:hAnsi="Arial" w:cs="Arial"/>
                <w:b/>
                <w:bCs/>
              </w:rPr>
              <w:t>4</w:t>
            </w:r>
          </w:p>
          <w:p w14:paraId="1BCAA8EB" w14:textId="77777777" w:rsidR="00E2148E" w:rsidRPr="004F1617" w:rsidRDefault="00E2148E" w:rsidP="008C71F3">
            <w:pPr>
              <w:jc w:val="center"/>
              <w:rPr>
                <w:rFonts w:ascii="Arial" w:hAnsi="Arial" w:cs="Arial"/>
                <w:b/>
                <w:bCs/>
              </w:rPr>
            </w:pPr>
          </w:p>
        </w:tc>
        <w:tc>
          <w:tcPr>
            <w:tcW w:w="4508" w:type="dxa"/>
          </w:tcPr>
          <w:p w14:paraId="628C5758" w14:textId="3AF15227" w:rsidR="00661491" w:rsidRPr="004F1617" w:rsidRDefault="00143716" w:rsidP="00661491">
            <w:pPr>
              <w:jc w:val="center"/>
              <w:rPr>
                <w:rFonts w:ascii="Arial" w:hAnsi="Arial" w:cs="Arial"/>
                <w:b/>
                <w:bCs/>
              </w:rPr>
            </w:pPr>
            <w:r w:rsidRPr="004F1617">
              <w:rPr>
                <w:rFonts w:ascii="Arial" w:hAnsi="Arial" w:cs="Arial"/>
                <w:b/>
                <w:bCs/>
              </w:rPr>
              <w:t>Met</w:t>
            </w:r>
          </w:p>
          <w:p w14:paraId="48BF0F05" w14:textId="3C869169" w:rsidR="00E2148E" w:rsidRPr="004F1617" w:rsidRDefault="00E2148E" w:rsidP="00143716">
            <w:pPr>
              <w:jc w:val="center"/>
              <w:rPr>
                <w:rFonts w:ascii="Arial" w:hAnsi="Arial" w:cs="Arial"/>
                <w:b/>
                <w:bCs/>
              </w:rPr>
            </w:pPr>
          </w:p>
        </w:tc>
      </w:tr>
      <w:tr w:rsidR="00E2148E" w:rsidRPr="0084743E" w14:paraId="6F2A68B8" w14:textId="77777777" w:rsidTr="7E8039CF">
        <w:trPr>
          <w:gridAfter w:val="1"/>
          <w:wAfter w:w="448" w:type="dxa"/>
        </w:trPr>
        <w:tc>
          <w:tcPr>
            <w:tcW w:w="4508" w:type="dxa"/>
          </w:tcPr>
          <w:p w14:paraId="515DF52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5</w:t>
            </w:r>
          </w:p>
          <w:p w14:paraId="1C924E15" w14:textId="77777777" w:rsidR="00E2148E" w:rsidRPr="000D3EF0" w:rsidRDefault="00E2148E" w:rsidP="008C71F3">
            <w:pPr>
              <w:jc w:val="center"/>
              <w:rPr>
                <w:rFonts w:ascii="Arial" w:hAnsi="Arial" w:cs="Arial"/>
                <w:color w:val="7F7F7F" w:themeColor="text1" w:themeTint="80"/>
              </w:rPr>
            </w:pPr>
          </w:p>
        </w:tc>
        <w:tc>
          <w:tcPr>
            <w:tcW w:w="4508" w:type="dxa"/>
          </w:tcPr>
          <w:p w14:paraId="36B00761" w14:textId="62BE507D"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33CA339A" w14:textId="1CA6A7EB" w:rsidR="00E2148E" w:rsidRPr="000D3EF0" w:rsidRDefault="00E2148E" w:rsidP="00143716">
            <w:pPr>
              <w:jc w:val="center"/>
              <w:rPr>
                <w:rFonts w:ascii="Arial" w:hAnsi="Arial" w:cs="Arial"/>
                <w:color w:val="7F7F7F" w:themeColor="text1" w:themeTint="80"/>
              </w:rPr>
            </w:pPr>
          </w:p>
        </w:tc>
      </w:tr>
      <w:tr w:rsidR="00E2148E" w:rsidRPr="0084743E" w14:paraId="0FB97D48" w14:textId="77777777" w:rsidTr="7E8039CF">
        <w:trPr>
          <w:gridAfter w:val="1"/>
          <w:wAfter w:w="448" w:type="dxa"/>
        </w:trPr>
        <w:tc>
          <w:tcPr>
            <w:tcW w:w="4508" w:type="dxa"/>
          </w:tcPr>
          <w:p w14:paraId="49004983"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6</w:t>
            </w:r>
          </w:p>
          <w:p w14:paraId="2B110B5F" w14:textId="77777777" w:rsidR="00E2148E" w:rsidRPr="000D3EF0" w:rsidRDefault="00E2148E" w:rsidP="008C71F3">
            <w:pPr>
              <w:jc w:val="center"/>
              <w:rPr>
                <w:rFonts w:ascii="Arial" w:hAnsi="Arial" w:cs="Arial"/>
                <w:color w:val="7F7F7F" w:themeColor="text1" w:themeTint="80"/>
              </w:rPr>
            </w:pPr>
          </w:p>
        </w:tc>
        <w:tc>
          <w:tcPr>
            <w:tcW w:w="4508" w:type="dxa"/>
          </w:tcPr>
          <w:p w14:paraId="2396A11F" w14:textId="2F82DA2D"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47EDFAC0" w14:textId="744F5EBB" w:rsidR="00E2148E" w:rsidRPr="000D3EF0" w:rsidRDefault="00E2148E" w:rsidP="00143716">
            <w:pPr>
              <w:jc w:val="center"/>
              <w:rPr>
                <w:rFonts w:ascii="Arial" w:hAnsi="Arial" w:cs="Arial"/>
                <w:color w:val="7F7F7F" w:themeColor="text1" w:themeTint="80"/>
              </w:rPr>
            </w:pPr>
          </w:p>
        </w:tc>
      </w:tr>
      <w:tr w:rsidR="00E2148E" w:rsidRPr="0084743E" w14:paraId="43D1098A" w14:textId="77777777" w:rsidTr="7E8039CF">
        <w:trPr>
          <w:gridAfter w:val="1"/>
          <w:wAfter w:w="448" w:type="dxa"/>
        </w:trPr>
        <w:tc>
          <w:tcPr>
            <w:tcW w:w="4508" w:type="dxa"/>
          </w:tcPr>
          <w:p w14:paraId="5A07EB5A" w14:textId="77777777" w:rsidR="00E2148E" w:rsidRPr="004F1617" w:rsidRDefault="00E2148E" w:rsidP="008C71F3">
            <w:pPr>
              <w:jc w:val="center"/>
              <w:rPr>
                <w:rFonts w:ascii="Arial" w:hAnsi="Arial" w:cs="Arial"/>
                <w:b/>
                <w:bCs/>
              </w:rPr>
            </w:pPr>
            <w:r w:rsidRPr="004F1617">
              <w:rPr>
                <w:rFonts w:ascii="Arial" w:hAnsi="Arial" w:cs="Arial"/>
                <w:b/>
                <w:bCs/>
              </w:rPr>
              <w:t>7</w:t>
            </w:r>
          </w:p>
          <w:p w14:paraId="7CDCBE5F" w14:textId="77777777" w:rsidR="00E2148E" w:rsidRPr="004F1617" w:rsidRDefault="00E2148E" w:rsidP="008C71F3">
            <w:pPr>
              <w:jc w:val="center"/>
              <w:rPr>
                <w:rFonts w:ascii="Arial" w:hAnsi="Arial" w:cs="Arial"/>
                <w:b/>
                <w:bCs/>
              </w:rPr>
            </w:pPr>
          </w:p>
        </w:tc>
        <w:tc>
          <w:tcPr>
            <w:tcW w:w="4508" w:type="dxa"/>
          </w:tcPr>
          <w:p w14:paraId="498A9B1D" w14:textId="3021FE9B" w:rsidR="00661491" w:rsidRPr="004F1617" w:rsidRDefault="00143716" w:rsidP="00661491">
            <w:pPr>
              <w:jc w:val="center"/>
              <w:rPr>
                <w:rFonts w:ascii="Arial" w:hAnsi="Arial" w:cs="Arial"/>
                <w:b/>
                <w:bCs/>
              </w:rPr>
            </w:pPr>
            <w:r w:rsidRPr="004F1617">
              <w:rPr>
                <w:rFonts w:ascii="Arial" w:hAnsi="Arial" w:cs="Arial"/>
                <w:b/>
                <w:bCs/>
              </w:rPr>
              <w:t>Met</w:t>
            </w:r>
          </w:p>
          <w:p w14:paraId="3B804B2E" w14:textId="7B317475" w:rsidR="00E2148E" w:rsidRPr="004F1617" w:rsidRDefault="00E2148E" w:rsidP="00143716">
            <w:pPr>
              <w:jc w:val="center"/>
              <w:rPr>
                <w:rFonts w:ascii="Arial" w:hAnsi="Arial" w:cs="Arial"/>
                <w:b/>
                <w:bCs/>
              </w:rPr>
            </w:pPr>
          </w:p>
        </w:tc>
      </w:tr>
      <w:tr w:rsidR="00E2148E" w:rsidRPr="0084743E" w14:paraId="689DA4D9" w14:textId="77777777" w:rsidTr="7E8039CF">
        <w:trPr>
          <w:gridAfter w:val="1"/>
          <w:wAfter w:w="448" w:type="dxa"/>
        </w:trPr>
        <w:tc>
          <w:tcPr>
            <w:tcW w:w="4508" w:type="dxa"/>
          </w:tcPr>
          <w:p w14:paraId="4567C73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8</w:t>
            </w:r>
          </w:p>
          <w:p w14:paraId="3951E816" w14:textId="77777777" w:rsidR="00E2148E" w:rsidRPr="000D3EF0" w:rsidRDefault="00E2148E" w:rsidP="008C71F3">
            <w:pPr>
              <w:jc w:val="center"/>
              <w:rPr>
                <w:rFonts w:ascii="Arial" w:hAnsi="Arial" w:cs="Arial"/>
                <w:color w:val="7F7F7F" w:themeColor="text1" w:themeTint="80"/>
              </w:rPr>
            </w:pPr>
          </w:p>
        </w:tc>
        <w:tc>
          <w:tcPr>
            <w:tcW w:w="4508" w:type="dxa"/>
          </w:tcPr>
          <w:p w14:paraId="37EBD050" w14:textId="116547C7"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164177CD" w14:textId="1B3EB567" w:rsidR="00E2148E" w:rsidRPr="000D3EF0" w:rsidRDefault="00E2148E" w:rsidP="00143716">
            <w:pPr>
              <w:jc w:val="center"/>
              <w:rPr>
                <w:rFonts w:ascii="Arial" w:hAnsi="Arial" w:cs="Arial"/>
                <w:color w:val="7F7F7F" w:themeColor="text1" w:themeTint="80"/>
              </w:rPr>
            </w:pPr>
          </w:p>
        </w:tc>
      </w:tr>
      <w:tr w:rsidR="00E2148E" w:rsidRPr="0084743E" w14:paraId="1C7773BB" w14:textId="77777777" w:rsidTr="7E8039CF">
        <w:trPr>
          <w:gridAfter w:val="1"/>
          <w:wAfter w:w="448" w:type="dxa"/>
        </w:trPr>
        <w:tc>
          <w:tcPr>
            <w:tcW w:w="9016" w:type="dxa"/>
            <w:gridSpan w:val="2"/>
            <w:shd w:val="clear" w:color="auto" w:fill="D9D9D9" w:themeFill="background1" w:themeFillShade="D9"/>
          </w:tcPr>
          <w:p w14:paraId="02CA0D93" w14:textId="77777777" w:rsidR="00E2148E" w:rsidRPr="0084743E" w:rsidRDefault="00E2148E" w:rsidP="008C71F3">
            <w:pPr>
              <w:jc w:val="center"/>
              <w:rPr>
                <w:rFonts w:ascii="Arial" w:hAnsi="Arial" w:cs="Arial"/>
                <w:b/>
              </w:rPr>
            </w:pPr>
            <w:r w:rsidRPr="0084743E">
              <w:rPr>
                <w:rFonts w:ascii="Arial" w:hAnsi="Arial" w:cs="Arial"/>
                <w:b/>
              </w:rPr>
              <w:t>Standard Two</w:t>
            </w:r>
          </w:p>
        </w:tc>
      </w:tr>
      <w:tr w:rsidR="00E2148E" w:rsidRPr="0084743E" w14:paraId="2348BE16" w14:textId="77777777" w:rsidTr="7E8039CF">
        <w:trPr>
          <w:gridAfter w:val="1"/>
          <w:wAfter w:w="448" w:type="dxa"/>
        </w:trPr>
        <w:tc>
          <w:tcPr>
            <w:tcW w:w="4508" w:type="dxa"/>
          </w:tcPr>
          <w:p w14:paraId="2D9F90AC" w14:textId="77777777" w:rsidR="00E2148E" w:rsidRPr="004F1617" w:rsidRDefault="00E2148E" w:rsidP="008C71F3">
            <w:pPr>
              <w:jc w:val="center"/>
              <w:rPr>
                <w:rFonts w:ascii="Arial" w:hAnsi="Arial" w:cs="Arial"/>
                <w:b/>
                <w:bCs/>
              </w:rPr>
            </w:pPr>
            <w:r w:rsidRPr="004F1617">
              <w:rPr>
                <w:rFonts w:ascii="Arial" w:hAnsi="Arial" w:cs="Arial"/>
                <w:b/>
                <w:bCs/>
              </w:rPr>
              <w:t>9</w:t>
            </w:r>
          </w:p>
          <w:p w14:paraId="5D7DE8C1" w14:textId="77777777" w:rsidR="00E2148E" w:rsidRPr="004F1617" w:rsidRDefault="00E2148E" w:rsidP="008C71F3">
            <w:pPr>
              <w:jc w:val="center"/>
              <w:rPr>
                <w:rFonts w:ascii="Arial" w:hAnsi="Arial" w:cs="Arial"/>
                <w:b/>
                <w:bCs/>
              </w:rPr>
            </w:pPr>
          </w:p>
        </w:tc>
        <w:tc>
          <w:tcPr>
            <w:tcW w:w="4508" w:type="dxa"/>
          </w:tcPr>
          <w:p w14:paraId="42AEF6F7" w14:textId="054E92FC" w:rsidR="00661491" w:rsidRPr="004F1617" w:rsidRDefault="00143716" w:rsidP="00661491">
            <w:pPr>
              <w:jc w:val="center"/>
              <w:rPr>
                <w:rFonts w:ascii="Arial" w:hAnsi="Arial" w:cs="Arial"/>
                <w:b/>
                <w:bCs/>
              </w:rPr>
            </w:pPr>
            <w:r w:rsidRPr="004F1617">
              <w:rPr>
                <w:rFonts w:ascii="Arial" w:hAnsi="Arial" w:cs="Arial"/>
                <w:b/>
                <w:bCs/>
              </w:rPr>
              <w:t>Met</w:t>
            </w:r>
          </w:p>
          <w:p w14:paraId="42571EE3" w14:textId="3B281715" w:rsidR="00E2148E" w:rsidRPr="004F1617" w:rsidRDefault="00E2148E" w:rsidP="00143716">
            <w:pPr>
              <w:jc w:val="center"/>
              <w:rPr>
                <w:rFonts w:ascii="Arial" w:hAnsi="Arial" w:cs="Arial"/>
                <w:b/>
                <w:bCs/>
              </w:rPr>
            </w:pPr>
          </w:p>
        </w:tc>
      </w:tr>
      <w:tr w:rsidR="00E2148E" w:rsidRPr="0084743E" w14:paraId="105220D4" w14:textId="77777777" w:rsidTr="7E8039CF">
        <w:trPr>
          <w:gridAfter w:val="1"/>
          <w:wAfter w:w="448" w:type="dxa"/>
        </w:trPr>
        <w:tc>
          <w:tcPr>
            <w:tcW w:w="4508" w:type="dxa"/>
          </w:tcPr>
          <w:p w14:paraId="38B120BE"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10</w:t>
            </w:r>
          </w:p>
          <w:p w14:paraId="7E41EF30" w14:textId="77777777" w:rsidR="00E2148E" w:rsidRPr="000D3EF0" w:rsidRDefault="00E2148E" w:rsidP="008C71F3">
            <w:pPr>
              <w:jc w:val="center"/>
              <w:rPr>
                <w:rFonts w:ascii="Arial" w:hAnsi="Arial" w:cs="Arial"/>
                <w:color w:val="7F7F7F" w:themeColor="text1" w:themeTint="80"/>
              </w:rPr>
            </w:pPr>
          </w:p>
        </w:tc>
        <w:tc>
          <w:tcPr>
            <w:tcW w:w="4508" w:type="dxa"/>
          </w:tcPr>
          <w:p w14:paraId="75DCCCC2" w14:textId="789CA26E"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4282004B" w14:textId="70E4AA35" w:rsidR="00E2148E" w:rsidRPr="000D3EF0" w:rsidRDefault="00E2148E" w:rsidP="00143716">
            <w:pPr>
              <w:jc w:val="center"/>
              <w:rPr>
                <w:rFonts w:ascii="Arial" w:hAnsi="Arial" w:cs="Arial"/>
                <w:color w:val="7F7F7F" w:themeColor="text1" w:themeTint="80"/>
              </w:rPr>
            </w:pPr>
          </w:p>
        </w:tc>
      </w:tr>
      <w:tr w:rsidR="00E2148E" w:rsidRPr="0084743E" w14:paraId="56105FA1" w14:textId="77777777" w:rsidTr="7E8039CF">
        <w:trPr>
          <w:gridAfter w:val="1"/>
          <w:wAfter w:w="448" w:type="dxa"/>
        </w:trPr>
        <w:tc>
          <w:tcPr>
            <w:tcW w:w="4508" w:type="dxa"/>
          </w:tcPr>
          <w:p w14:paraId="39C227DA"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11</w:t>
            </w:r>
          </w:p>
          <w:p w14:paraId="687FB0EE" w14:textId="77777777" w:rsidR="00E2148E" w:rsidRPr="000D3EF0" w:rsidRDefault="00E2148E" w:rsidP="008C71F3">
            <w:pPr>
              <w:jc w:val="center"/>
              <w:rPr>
                <w:rFonts w:ascii="Arial" w:hAnsi="Arial" w:cs="Arial"/>
                <w:color w:val="7F7F7F" w:themeColor="text1" w:themeTint="80"/>
              </w:rPr>
            </w:pPr>
          </w:p>
        </w:tc>
        <w:tc>
          <w:tcPr>
            <w:tcW w:w="4508" w:type="dxa"/>
          </w:tcPr>
          <w:p w14:paraId="76B2365F" w14:textId="1DAE5145"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05B39965" w14:textId="15AE509E" w:rsidR="00E2148E" w:rsidRPr="000D3EF0" w:rsidRDefault="00E2148E" w:rsidP="00143716">
            <w:pPr>
              <w:jc w:val="center"/>
              <w:rPr>
                <w:rFonts w:ascii="Arial" w:hAnsi="Arial" w:cs="Arial"/>
                <w:color w:val="7F7F7F" w:themeColor="text1" w:themeTint="80"/>
              </w:rPr>
            </w:pPr>
          </w:p>
        </w:tc>
      </w:tr>
      <w:tr w:rsidR="00E2148E" w:rsidRPr="0084743E" w14:paraId="04F88B22" w14:textId="77777777" w:rsidTr="7E8039CF">
        <w:trPr>
          <w:gridAfter w:val="1"/>
          <w:wAfter w:w="448" w:type="dxa"/>
        </w:trPr>
        <w:tc>
          <w:tcPr>
            <w:tcW w:w="4508" w:type="dxa"/>
          </w:tcPr>
          <w:p w14:paraId="4D317635"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12</w:t>
            </w:r>
          </w:p>
          <w:p w14:paraId="7D90BD78" w14:textId="77777777" w:rsidR="00E2148E" w:rsidRPr="000D3EF0" w:rsidRDefault="00E2148E" w:rsidP="008C71F3">
            <w:pPr>
              <w:jc w:val="center"/>
              <w:rPr>
                <w:rFonts w:ascii="Arial" w:hAnsi="Arial" w:cs="Arial"/>
                <w:color w:val="7F7F7F" w:themeColor="text1" w:themeTint="80"/>
              </w:rPr>
            </w:pPr>
          </w:p>
        </w:tc>
        <w:tc>
          <w:tcPr>
            <w:tcW w:w="4508" w:type="dxa"/>
          </w:tcPr>
          <w:p w14:paraId="0C6C140E" w14:textId="473B2AB0"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34C1AC37" w14:textId="178CBFDC" w:rsidR="00E2148E" w:rsidRPr="000D3EF0" w:rsidRDefault="00E2148E" w:rsidP="00143716">
            <w:pPr>
              <w:jc w:val="center"/>
              <w:rPr>
                <w:rFonts w:ascii="Arial" w:hAnsi="Arial" w:cs="Arial"/>
                <w:color w:val="7F7F7F" w:themeColor="text1" w:themeTint="80"/>
              </w:rPr>
            </w:pPr>
          </w:p>
        </w:tc>
      </w:tr>
      <w:tr w:rsidR="00E2148E" w:rsidRPr="0084743E" w14:paraId="2DE8AB71" w14:textId="77777777" w:rsidTr="7E8039CF">
        <w:trPr>
          <w:gridAfter w:val="1"/>
          <w:wAfter w:w="448" w:type="dxa"/>
        </w:trPr>
        <w:tc>
          <w:tcPr>
            <w:tcW w:w="9016" w:type="dxa"/>
            <w:gridSpan w:val="2"/>
            <w:shd w:val="clear" w:color="auto" w:fill="D9D9D9" w:themeFill="background1" w:themeFillShade="D9"/>
          </w:tcPr>
          <w:p w14:paraId="4DFE3FF6" w14:textId="77777777" w:rsidR="00E2148E" w:rsidRPr="0084743E" w:rsidRDefault="00E2148E" w:rsidP="008C71F3">
            <w:pPr>
              <w:jc w:val="center"/>
              <w:rPr>
                <w:rFonts w:ascii="Arial" w:hAnsi="Arial" w:cs="Arial"/>
                <w:b/>
              </w:rPr>
            </w:pPr>
            <w:r w:rsidRPr="0084743E">
              <w:rPr>
                <w:rFonts w:ascii="Arial" w:hAnsi="Arial" w:cs="Arial"/>
                <w:b/>
              </w:rPr>
              <w:t>Standard Three</w:t>
            </w:r>
          </w:p>
        </w:tc>
      </w:tr>
      <w:tr w:rsidR="00E2148E" w:rsidRPr="0084743E" w14:paraId="7EE705D5" w14:textId="77777777" w:rsidTr="7E8039CF">
        <w:trPr>
          <w:gridAfter w:val="1"/>
          <w:wAfter w:w="448" w:type="dxa"/>
        </w:trPr>
        <w:tc>
          <w:tcPr>
            <w:tcW w:w="4508" w:type="dxa"/>
          </w:tcPr>
          <w:p w14:paraId="5205D72E" w14:textId="77777777" w:rsidR="00E2148E" w:rsidRPr="004F1617" w:rsidRDefault="00E2148E" w:rsidP="008C71F3">
            <w:pPr>
              <w:jc w:val="center"/>
              <w:rPr>
                <w:rFonts w:ascii="Arial" w:hAnsi="Arial" w:cs="Arial"/>
                <w:b/>
                <w:bCs/>
              </w:rPr>
            </w:pPr>
            <w:r w:rsidRPr="004F1617">
              <w:rPr>
                <w:rFonts w:ascii="Arial" w:hAnsi="Arial" w:cs="Arial"/>
                <w:b/>
                <w:bCs/>
              </w:rPr>
              <w:t>13</w:t>
            </w:r>
          </w:p>
          <w:p w14:paraId="451CE457" w14:textId="77777777" w:rsidR="00E2148E" w:rsidRPr="004F1617" w:rsidRDefault="00E2148E" w:rsidP="008C71F3">
            <w:pPr>
              <w:jc w:val="center"/>
              <w:rPr>
                <w:rFonts w:ascii="Arial" w:hAnsi="Arial" w:cs="Arial"/>
                <w:b/>
                <w:bCs/>
              </w:rPr>
            </w:pPr>
          </w:p>
        </w:tc>
        <w:tc>
          <w:tcPr>
            <w:tcW w:w="4508" w:type="dxa"/>
          </w:tcPr>
          <w:p w14:paraId="1C193714" w14:textId="308379A6" w:rsidR="00661491" w:rsidRPr="004F1617" w:rsidRDefault="00143716" w:rsidP="00661491">
            <w:pPr>
              <w:jc w:val="center"/>
              <w:rPr>
                <w:rFonts w:ascii="Arial" w:hAnsi="Arial" w:cs="Arial"/>
                <w:b/>
                <w:bCs/>
              </w:rPr>
            </w:pPr>
            <w:r w:rsidRPr="004F1617">
              <w:rPr>
                <w:rFonts w:ascii="Arial" w:hAnsi="Arial" w:cs="Arial"/>
                <w:b/>
                <w:bCs/>
              </w:rPr>
              <w:t>Met</w:t>
            </w:r>
          </w:p>
          <w:p w14:paraId="0070B547" w14:textId="73DC959C" w:rsidR="00E2148E" w:rsidRPr="004F1617" w:rsidRDefault="00E2148E" w:rsidP="00143716">
            <w:pPr>
              <w:jc w:val="center"/>
              <w:rPr>
                <w:rFonts w:ascii="Arial" w:hAnsi="Arial" w:cs="Arial"/>
                <w:b/>
                <w:bCs/>
              </w:rPr>
            </w:pPr>
          </w:p>
        </w:tc>
      </w:tr>
      <w:tr w:rsidR="00E2148E" w:rsidRPr="0084743E" w14:paraId="50B2804A" w14:textId="77777777" w:rsidTr="7E8039CF">
        <w:trPr>
          <w:gridAfter w:val="1"/>
          <w:wAfter w:w="448" w:type="dxa"/>
        </w:trPr>
        <w:tc>
          <w:tcPr>
            <w:tcW w:w="4508" w:type="dxa"/>
          </w:tcPr>
          <w:p w14:paraId="7FD7C08D"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14</w:t>
            </w:r>
          </w:p>
          <w:p w14:paraId="1302D67D" w14:textId="77777777" w:rsidR="00E2148E" w:rsidRPr="000D3EF0" w:rsidRDefault="00E2148E" w:rsidP="008C71F3">
            <w:pPr>
              <w:jc w:val="center"/>
              <w:rPr>
                <w:rFonts w:ascii="Arial" w:hAnsi="Arial" w:cs="Arial"/>
                <w:color w:val="7F7F7F" w:themeColor="text1" w:themeTint="80"/>
              </w:rPr>
            </w:pPr>
          </w:p>
        </w:tc>
        <w:tc>
          <w:tcPr>
            <w:tcW w:w="4508" w:type="dxa"/>
          </w:tcPr>
          <w:p w14:paraId="7C7EEEDF" w14:textId="08B93791"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6EEB3739" w14:textId="1722C156" w:rsidR="00E2148E" w:rsidRPr="000D3EF0" w:rsidRDefault="00E2148E" w:rsidP="00143716">
            <w:pPr>
              <w:jc w:val="center"/>
              <w:rPr>
                <w:rFonts w:ascii="Arial" w:hAnsi="Arial" w:cs="Arial"/>
                <w:color w:val="7F7F7F" w:themeColor="text1" w:themeTint="80"/>
              </w:rPr>
            </w:pPr>
          </w:p>
        </w:tc>
      </w:tr>
      <w:tr w:rsidR="00E2148E" w:rsidRPr="0084743E" w14:paraId="6E7B07FC" w14:textId="77777777" w:rsidTr="7E8039CF">
        <w:trPr>
          <w:gridAfter w:val="1"/>
          <w:wAfter w:w="448" w:type="dxa"/>
        </w:trPr>
        <w:tc>
          <w:tcPr>
            <w:tcW w:w="4508" w:type="dxa"/>
          </w:tcPr>
          <w:p w14:paraId="6AF07703" w14:textId="77777777" w:rsidR="00E2148E" w:rsidRPr="004F1617" w:rsidRDefault="00E2148E" w:rsidP="008C71F3">
            <w:pPr>
              <w:jc w:val="center"/>
              <w:rPr>
                <w:rFonts w:ascii="Arial" w:hAnsi="Arial" w:cs="Arial"/>
                <w:b/>
                <w:bCs/>
              </w:rPr>
            </w:pPr>
            <w:r w:rsidRPr="004F1617">
              <w:rPr>
                <w:rFonts w:ascii="Arial" w:hAnsi="Arial" w:cs="Arial"/>
                <w:b/>
                <w:bCs/>
              </w:rPr>
              <w:t>15</w:t>
            </w:r>
          </w:p>
          <w:p w14:paraId="2612B004" w14:textId="77777777" w:rsidR="00E2148E" w:rsidRPr="004F1617" w:rsidRDefault="00E2148E" w:rsidP="008C71F3">
            <w:pPr>
              <w:jc w:val="center"/>
              <w:rPr>
                <w:rFonts w:ascii="Arial" w:hAnsi="Arial" w:cs="Arial"/>
                <w:b/>
                <w:bCs/>
              </w:rPr>
            </w:pPr>
          </w:p>
        </w:tc>
        <w:tc>
          <w:tcPr>
            <w:tcW w:w="4508" w:type="dxa"/>
          </w:tcPr>
          <w:p w14:paraId="646F811B" w14:textId="3FA2DCC6" w:rsidR="00661491" w:rsidRPr="004F1617" w:rsidRDefault="00143716" w:rsidP="00661491">
            <w:pPr>
              <w:jc w:val="center"/>
              <w:rPr>
                <w:rFonts w:ascii="Arial" w:hAnsi="Arial" w:cs="Arial"/>
                <w:b/>
                <w:bCs/>
              </w:rPr>
            </w:pPr>
            <w:r w:rsidRPr="004F1617">
              <w:rPr>
                <w:rFonts w:ascii="Arial" w:hAnsi="Arial" w:cs="Arial"/>
                <w:b/>
                <w:bCs/>
              </w:rPr>
              <w:t>Met</w:t>
            </w:r>
          </w:p>
          <w:p w14:paraId="35F76218" w14:textId="28F91AB0" w:rsidR="00E2148E" w:rsidRPr="004F1617" w:rsidRDefault="00E2148E" w:rsidP="00143716">
            <w:pPr>
              <w:jc w:val="center"/>
              <w:rPr>
                <w:rFonts w:ascii="Arial" w:hAnsi="Arial" w:cs="Arial"/>
                <w:b/>
                <w:bCs/>
              </w:rPr>
            </w:pPr>
          </w:p>
        </w:tc>
      </w:tr>
      <w:tr w:rsidR="00E2148E" w:rsidRPr="0084743E" w14:paraId="702A3C4A" w14:textId="77777777" w:rsidTr="7E8039CF">
        <w:trPr>
          <w:gridAfter w:val="1"/>
          <w:wAfter w:w="448" w:type="dxa"/>
        </w:trPr>
        <w:tc>
          <w:tcPr>
            <w:tcW w:w="4508" w:type="dxa"/>
          </w:tcPr>
          <w:p w14:paraId="00EE438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16</w:t>
            </w:r>
          </w:p>
          <w:p w14:paraId="4FA0C0E5" w14:textId="77777777" w:rsidR="00E2148E" w:rsidRPr="000D3EF0" w:rsidRDefault="00E2148E" w:rsidP="008C71F3">
            <w:pPr>
              <w:jc w:val="center"/>
              <w:rPr>
                <w:rFonts w:ascii="Arial" w:hAnsi="Arial" w:cs="Arial"/>
                <w:color w:val="7F7F7F" w:themeColor="text1" w:themeTint="80"/>
              </w:rPr>
            </w:pPr>
          </w:p>
        </w:tc>
        <w:tc>
          <w:tcPr>
            <w:tcW w:w="4508" w:type="dxa"/>
          </w:tcPr>
          <w:p w14:paraId="604F3D9F" w14:textId="3A800142"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6514F5E5" w14:textId="1B8D9D43" w:rsidR="00E2148E" w:rsidRPr="000D3EF0" w:rsidRDefault="00E2148E" w:rsidP="00143716">
            <w:pPr>
              <w:jc w:val="center"/>
              <w:rPr>
                <w:rFonts w:ascii="Arial" w:hAnsi="Arial" w:cs="Arial"/>
                <w:color w:val="7F7F7F" w:themeColor="text1" w:themeTint="80"/>
              </w:rPr>
            </w:pPr>
          </w:p>
        </w:tc>
      </w:tr>
      <w:tr w:rsidR="00E2148E" w:rsidRPr="0084743E" w14:paraId="7C167230" w14:textId="77777777" w:rsidTr="7E8039CF">
        <w:trPr>
          <w:gridAfter w:val="1"/>
          <w:wAfter w:w="448" w:type="dxa"/>
        </w:trPr>
        <w:tc>
          <w:tcPr>
            <w:tcW w:w="4508" w:type="dxa"/>
          </w:tcPr>
          <w:p w14:paraId="1F57C48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17</w:t>
            </w:r>
          </w:p>
          <w:p w14:paraId="051AC982" w14:textId="77777777" w:rsidR="00E2148E" w:rsidRPr="000D3EF0" w:rsidRDefault="00E2148E" w:rsidP="008C71F3">
            <w:pPr>
              <w:jc w:val="center"/>
              <w:rPr>
                <w:rFonts w:ascii="Arial" w:hAnsi="Arial" w:cs="Arial"/>
                <w:color w:val="7F7F7F" w:themeColor="text1" w:themeTint="80"/>
              </w:rPr>
            </w:pPr>
          </w:p>
        </w:tc>
        <w:tc>
          <w:tcPr>
            <w:tcW w:w="4508" w:type="dxa"/>
          </w:tcPr>
          <w:p w14:paraId="0AC37F5A" w14:textId="33E7CBBE"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6FB133A0" w14:textId="4DF157A9" w:rsidR="00E2148E" w:rsidRPr="000D3EF0" w:rsidRDefault="00E2148E" w:rsidP="00143716">
            <w:pPr>
              <w:jc w:val="center"/>
              <w:rPr>
                <w:rFonts w:ascii="Arial" w:hAnsi="Arial" w:cs="Arial"/>
                <w:color w:val="7F7F7F" w:themeColor="text1" w:themeTint="80"/>
              </w:rPr>
            </w:pPr>
          </w:p>
        </w:tc>
      </w:tr>
      <w:tr w:rsidR="00E2148E" w:rsidRPr="0084743E" w14:paraId="67E579D5" w14:textId="77777777" w:rsidTr="7E8039CF">
        <w:trPr>
          <w:gridAfter w:val="1"/>
          <w:wAfter w:w="448" w:type="dxa"/>
        </w:trPr>
        <w:tc>
          <w:tcPr>
            <w:tcW w:w="4508" w:type="dxa"/>
          </w:tcPr>
          <w:p w14:paraId="04279F6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18</w:t>
            </w:r>
          </w:p>
          <w:p w14:paraId="7F1A6DDB" w14:textId="77777777" w:rsidR="00E2148E" w:rsidRPr="000D3EF0" w:rsidRDefault="00E2148E" w:rsidP="008C71F3">
            <w:pPr>
              <w:jc w:val="center"/>
              <w:rPr>
                <w:rFonts w:ascii="Arial" w:hAnsi="Arial" w:cs="Arial"/>
                <w:color w:val="7F7F7F" w:themeColor="text1" w:themeTint="80"/>
              </w:rPr>
            </w:pPr>
          </w:p>
        </w:tc>
        <w:tc>
          <w:tcPr>
            <w:tcW w:w="4508" w:type="dxa"/>
          </w:tcPr>
          <w:p w14:paraId="6285134C" w14:textId="3DB18BD9"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33F5630B" w14:textId="6A0CEFA2" w:rsidR="00E2148E" w:rsidRPr="000D3EF0" w:rsidRDefault="00E2148E" w:rsidP="00143716">
            <w:pPr>
              <w:jc w:val="center"/>
              <w:rPr>
                <w:rFonts w:ascii="Arial" w:hAnsi="Arial" w:cs="Arial"/>
                <w:color w:val="7F7F7F" w:themeColor="text1" w:themeTint="80"/>
              </w:rPr>
            </w:pPr>
          </w:p>
        </w:tc>
      </w:tr>
      <w:tr w:rsidR="00E2148E" w:rsidRPr="0084743E" w14:paraId="245C142C" w14:textId="77777777" w:rsidTr="7E8039CF">
        <w:trPr>
          <w:gridAfter w:val="1"/>
          <w:wAfter w:w="448" w:type="dxa"/>
        </w:trPr>
        <w:tc>
          <w:tcPr>
            <w:tcW w:w="4508" w:type="dxa"/>
          </w:tcPr>
          <w:p w14:paraId="697FBC3D"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19</w:t>
            </w:r>
          </w:p>
          <w:p w14:paraId="64656486" w14:textId="77777777" w:rsidR="00E2148E" w:rsidRPr="000D3EF0" w:rsidRDefault="00E2148E" w:rsidP="008C71F3">
            <w:pPr>
              <w:jc w:val="center"/>
              <w:rPr>
                <w:rFonts w:ascii="Arial" w:hAnsi="Arial" w:cs="Arial"/>
                <w:color w:val="7F7F7F" w:themeColor="text1" w:themeTint="80"/>
              </w:rPr>
            </w:pPr>
          </w:p>
        </w:tc>
        <w:tc>
          <w:tcPr>
            <w:tcW w:w="4508" w:type="dxa"/>
          </w:tcPr>
          <w:p w14:paraId="55F5597D" w14:textId="37A61AB9"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20CE45E5" w14:textId="10797212" w:rsidR="00E2148E" w:rsidRPr="000D3EF0" w:rsidRDefault="00E2148E" w:rsidP="00143716">
            <w:pPr>
              <w:jc w:val="center"/>
              <w:rPr>
                <w:rFonts w:ascii="Arial" w:hAnsi="Arial" w:cs="Arial"/>
                <w:color w:val="7F7F7F" w:themeColor="text1" w:themeTint="80"/>
              </w:rPr>
            </w:pPr>
          </w:p>
        </w:tc>
      </w:tr>
      <w:tr w:rsidR="00E2148E" w:rsidRPr="0084743E" w14:paraId="6A8BD8CB" w14:textId="77777777" w:rsidTr="7E8039CF">
        <w:trPr>
          <w:gridAfter w:val="1"/>
          <w:wAfter w:w="448" w:type="dxa"/>
        </w:trPr>
        <w:tc>
          <w:tcPr>
            <w:tcW w:w="4508" w:type="dxa"/>
          </w:tcPr>
          <w:p w14:paraId="7B7E9560"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20</w:t>
            </w:r>
          </w:p>
          <w:p w14:paraId="42358953" w14:textId="77777777" w:rsidR="00E2148E" w:rsidRPr="000D3EF0" w:rsidRDefault="00E2148E" w:rsidP="008C71F3">
            <w:pPr>
              <w:jc w:val="center"/>
              <w:rPr>
                <w:rFonts w:ascii="Arial" w:hAnsi="Arial" w:cs="Arial"/>
                <w:color w:val="7F7F7F" w:themeColor="text1" w:themeTint="80"/>
              </w:rPr>
            </w:pPr>
          </w:p>
        </w:tc>
        <w:tc>
          <w:tcPr>
            <w:tcW w:w="4508" w:type="dxa"/>
          </w:tcPr>
          <w:p w14:paraId="2BD79881" w14:textId="27DAA083"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1AE1FBF6" w14:textId="623DBC9E" w:rsidR="00E2148E" w:rsidRPr="000D3EF0" w:rsidRDefault="00E2148E" w:rsidP="00143716">
            <w:pPr>
              <w:jc w:val="center"/>
              <w:rPr>
                <w:rFonts w:ascii="Arial" w:hAnsi="Arial" w:cs="Arial"/>
                <w:color w:val="7F7F7F" w:themeColor="text1" w:themeTint="80"/>
              </w:rPr>
            </w:pPr>
          </w:p>
        </w:tc>
      </w:tr>
      <w:tr w:rsidR="00E2148E" w:rsidRPr="0084743E" w14:paraId="1CD3FBFF" w14:textId="77777777" w:rsidTr="7E8039CF">
        <w:trPr>
          <w:gridAfter w:val="1"/>
          <w:wAfter w:w="448" w:type="dxa"/>
        </w:trPr>
        <w:tc>
          <w:tcPr>
            <w:tcW w:w="4508" w:type="dxa"/>
          </w:tcPr>
          <w:p w14:paraId="1208C814" w14:textId="77777777" w:rsidR="00E2148E" w:rsidRPr="000D3EF0" w:rsidRDefault="00E2148E" w:rsidP="008C71F3">
            <w:pPr>
              <w:jc w:val="center"/>
              <w:rPr>
                <w:rFonts w:ascii="Arial" w:hAnsi="Arial" w:cs="Arial"/>
                <w:color w:val="7F7F7F" w:themeColor="text1" w:themeTint="80"/>
              </w:rPr>
            </w:pPr>
            <w:r w:rsidRPr="000D3EF0">
              <w:rPr>
                <w:rFonts w:ascii="Arial" w:hAnsi="Arial" w:cs="Arial"/>
                <w:color w:val="7F7F7F" w:themeColor="text1" w:themeTint="80"/>
              </w:rPr>
              <w:t>21</w:t>
            </w:r>
          </w:p>
          <w:p w14:paraId="75F0630E" w14:textId="77777777" w:rsidR="00E2148E" w:rsidRPr="000D3EF0" w:rsidRDefault="00E2148E" w:rsidP="008C71F3">
            <w:pPr>
              <w:jc w:val="center"/>
              <w:rPr>
                <w:rFonts w:ascii="Arial" w:hAnsi="Arial" w:cs="Arial"/>
                <w:color w:val="7F7F7F" w:themeColor="text1" w:themeTint="80"/>
              </w:rPr>
            </w:pPr>
          </w:p>
        </w:tc>
        <w:tc>
          <w:tcPr>
            <w:tcW w:w="4508" w:type="dxa"/>
          </w:tcPr>
          <w:p w14:paraId="37F4E98F" w14:textId="57B78121" w:rsidR="00661491" w:rsidRPr="000D3EF0" w:rsidRDefault="00143716" w:rsidP="00661491">
            <w:pPr>
              <w:jc w:val="center"/>
              <w:rPr>
                <w:rFonts w:ascii="Arial" w:hAnsi="Arial" w:cs="Arial"/>
                <w:color w:val="7F7F7F" w:themeColor="text1" w:themeTint="80"/>
              </w:rPr>
            </w:pPr>
            <w:r w:rsidRPr="000D3EF0">
              <w:rPr>
                <w:rFonts w:ascii="Arial" w:hAnsi="Arial" w:cs="Arial"/>
                <w:color w:val="7F7F7F" w:themeColor="text1" w:themeTint="80"/>
              </w:rPr>
              <w:t>Met</w:t>
            </w:r>
          </w:p>
          <w:p w14:paraId="22150E58" w14:textId="39648B1D" w:rsidR="00E2148E" w:rsidRPr="000D3EF0" w:rsidRDefault="00E2148E" w:rsidP="00143716">
            <w:pPr>
              <w:jc w:val="center"/>
              <w:rPr>
                <w:rFonts w:ascii="Arial" w:hAnsi="Arial" w:cs="Arial"/>
                <w:color w:val="7F7F7F" w:themeColor="text1" w:themeTint="80"/>
              </w:rPr>
            </w:pPr>
          </w:p>
        </w:tc>
      </w:tr>
      <w:tr w:rsidR="00E2148E" w:rsidRPr="0084743E" w14:paraId="5CBB5D8F" w14:textId="77777777" w:rsidTr="7E8039CF">
        <w:tc>
          <w:tcPr>
            <w:tcW w:w="9464" w:type="dxa"/>
            <w:gridSpan w:val="3"/>
            <w:shd w:val="clear" w:color="auto" w:fill="2F5496" w:themeFill="accent1" w:themeFillShade="BF"/>
          </w:tcPr>
          <w:p w14:paraId="6B5C6D76" w14:textId="77777777" w:rsidR="00E2148E" w:rsidRDefault="00E2148E" w:rsidP="008C71F3">
            <w:pPr>
              <w:rPr>
                <w:rFonts w:ascii="Arial" w:hAnsi="Arial" w:cs="Arial"/>
                <w:b/>
                <w:color w:val="FFFFFF" w:themeColor="background1"/>
              </w:rPr>
            </w:pPr>
            <w:r w:rsidRPr="0084743E">
              <w:rPr>
                <w:rFonts w:ascii="Arial" w:hAnsi="Arial" w:cs="Arial"/>
                <w:b/>
                <w:color w:val="FFFFFF" w:themeColor="background1"/>
              </w:rPr>
              <w:t xml:space="preserve">Standard 1 – Protecting patients </w:t>
            </w:r>
          </w:p>
          <w:p w14:paraId="19219159" w14:textId="77777777" w:rsidR="004F1617" w:rsidRPr="0084743E" w:rsidRDefault="004F1617" w:rsidP="008C71F3">
            <w:pPr>
              <w:rPr>
                <w:rFonts w:ascii="Arial" w:hAnsi="Arial" w:cs="Arial"/>
                <w:b/>
                <w:color w:val="FFFFFF" w:themeColor="background1"/>
              </w:rPr>
            </w:pPr>
          </w:p>
          <w:p w14:paraId="53E03E1A" w14:textId="77777777" w:rsidR="00E2148E" w:rsidRPr="0084743E" w:rsidRDefault="00E2148E" w:rsidP="008C71F3">
            <w:pPr>
              <w:rPr>
                <w:rFonts w:ascii="Arial" w:hAnsi="Arial" w:cs="Arial"/>
                <w:color w:val="FFFFFF" w:themeColor="background1"/>
              </w:rPr>
            </w:pPr>
            <w:r w:rsidRPr="0084743E">
              <w:rPr>
                <w:rFonts w:ascii="Arial" w:eastAsia="Calibri" w:hAnsi="Arial" w:cs="Arial"/>
                <w:b/>
                <w:color w:val="FFFFFF" w:themeColor="background1"/>
              </w:rPr>
              <w:lastRenderedPageBreak/>
              <w:t>Providers must be aware of their duty to protect the public.  Providers must ensure that patient safety is paramount and care of patients is of an appropriate standard. Any risk to the safety of patients and their care by students must be minimised.</w:t>
            </w:r>
          </w:p>
        </w:tc>
      </w:tr>
      <w:tr w:rsidR="00E2148E" w:rsidRPr="0084743E" w14:paraId="5686D0AA" w14:textId="77777777" w:rsidTr="7E8039CF">
        <w:trPr>
          <w:trHeight w:val="270"/>
        </w:trPr>
        <w:tc>
          <w:tcPr>
            <w:tcW w:w="9464" w:type="dxa"/>
            <w:gridSpan w:val="3"/>
          </w:tcPr>
          <w:p w14:paraId="1B01294B" w14:textId="77777777" w:rsidR="00E2148E" w:rsidRPr="0084743E" w:rsidRDefault="00E2148E" w:rsidP="008C71F3">
            <w:pPr>
              <w:tabs>
                <w:tab w:val="left" w:pos="720"/>
                <w:tab w:val="left" w:pos="9248"/>
              </w:tabs>
              <w:ind w:right="34"/>
              <w:rPr>
                <w:rFonts w:ascii="Arial" w:eastAsia="Calibri" w:hAnsi="Arial" w:cs="Arial"/>
                <w:b/>
                <w:color w:val="000000" w:themeColor="text1"/>
              </w:rPr>
            </w:pPr>
          </w:p>
          <w:p w14:paraId="3748D1DA" w14:textId="6F348404" w:rsidR="00E2148E" w:rsidRDefault="00E2148E" w:rsidP="008C71F3">
            <w:pPr>
              <w:tabs>
                <w:tab w:val="left" w:pos="720"/>
                <w:tab w:val="left" w:pos="9248"/>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 </w:t>
            </w:r>
            <w:r w:rsidRPr="0084743E">
              <w:rPr>
                <w:rFonts w:ascii="Arial" w:eastAsia="Calibri" w:hAnsi="Arial" w:cs="Arial"/>
                <w:b/>
                <w:i/>
                <w:color w:val="000000" w:themeColor="text1"/>
              </w:rPr>
              <w:t>(</w:t>
            </w:r>
            <w:r w:rsidR="000A6A8E" w:rsidRPr="0027795C">
              <w:rPr>
                <w:rFonts w:ascii="Arial" w:eastAsia="Calibri" w:hAnsi="Arial" w:cs="Arial"/>
                <w:b/>
                <w:i/>
                <w:color w:val="000000" w:themeColor="text1"/>
              </w:rPr>
              <w:t>Requirement Met</w:t>
            </w:r>
            <w:r w:rsidR="000A6A8E" w:rsidRPr="0084743E">
              <w:rPr>
                <w:rFonts w:ascii="Arial" w:eastAsia="Calibri" w:hAnsi="Arial" w:cs="Arial"/>
                <w:b/>
                <w:i/>
                <w:color w:val="000000" w:themeColor="text1"/>
              </w:rPr>
              <w:t>)</w:t>
            </w:r>
          </w:p>
          <w:p w14:paraId="0182A590" w14:textId="77777777" w:rsidR="0027795C" w:rsidRDefault="0027795C" w:rsidP="008C71F3">
            <w:pPr>
              <w:tabs>
                <w:tab w:val="left" w:pos="720"/>
                <w:tab w:val="left" w:pos="9248"/>
              </w:tabs>
              <w:ind w:right="34"/>
              <w:rPr>
                <w:rFonts w:ascii="Arial" w:hAnsi="Arial" w:cs="Arial"/>
              </w:rPr>
            </w:pPr>
          </w:p>
          <w:p w14:paraId="60D0DABD" w14:textId="71DA3B0D" w:rsidR="00567B03" w:rsidRDefault="009F3484" w:rsidP="008C71F3">
            <w:pPr>
              <w:tabs>
                <w:tab w:val="left" w:pos="720"/>
                <w:tab w:val="left" w:pos="9248"/>
              </w:tabs>
              <w:ind w:right="34"/>
              <w:rPr>
                <w:rFonts w:ascii="Arial" w:hAnsi="Arial" w:cs="Arial"/>
              </w:rPr>
            </w:pPr>
            <w:r>
              <w:rPr>
                <w:rFonts w:ascii="Arial" w:hAnsi="Arial" w:cs="Arial"/>
              </w:rPr>
              <w:t xml:space="preserve">The </w:t>
            </w:r>
            <w:proofErr w:type="gramStart"/>
            <w:r w:rsidR="0095065E">
              <w:rPr>
                <w:rFonts w:ascii="Arial" w:hAnsi="Arial" w:cs="Arial"/>
              </w:rPr>
              <w:t>School</w:t>
            </w:r>
            <w:proofErr w:type="gramEnd"/>
            <w:r w:rsidR="0095065E">
              <w:rPr>
                <w:rFonts w:ascii="Arial" w:hAnsi="Arial" w:cs="Arial"/>
              </w:rPr>
              <w:t xml:space="preserve"> uses </w:t>
            </w:r>
            <w:r w:rsidR="00415A60">
              <w:rPr>
                <w:rFonts w:ascii="Arial" w:hAnsi="Arial" w:cs="Arial"/>
              </w:rPr>
              <w:t>clinical gateways</w:t>
            </w:r>
            <w:r w:rsidR="00D92F53">
              <w:rPr>
                <w:rFonts w:ascii="Arial" w:hAnsi="Arial" w:cs="Arial"/>
              </w:rPr>
              <w:t xml:space="preserve"> </w:t>
            </w:r>
            <w:r w:rsidR="0031518C">
              <w:rPr>
                <w:rFonts w:ascii="Arial" w:hAnsi="Arial" w:cs="Arial"/>
              </w:rPr>
              <w:t xml:space="preserve">to </w:t>
            </w:r>
            <w:r w:rsidR="00D92F53">
              <w:rPr>
                <w:rFonts w:ascii="Arial" w:hAnsi="Arial" w:cs="Arial"/>
              </w:rPr>
              <w:t xml:space="preserve">assess whether students have </w:t>
            </w:r>
            <w:r w:rsidR="000F3DF9">
              <w:rPr>
                <w:rFonts w:ascii="Arial" w:hAnsi="Arial" w:cs="Arial"/>
              </w:rPr>
              <w:t>adequate</w:t>
            </w:r>
            <w:r w:rsidR="00D92F53">
              <w:rPr>
                <w:rFonts w:ascii="Arial" w:hAnsi="Arial" w:cs="Arial"/>
              </w:rPr>
              <w:t xml:space="preserve"> skills and knowledge to </w:t>
            </w:r>
            <w:r w:rsidR="000F3DF9">
              <w:rPr>
                <w:rFonts w:ascii="Arial" w:hAnsi="Arial" w:cs="Arial"/>
              </w:rPr>
              <w:t>treat patients</w:t>
            </w:r>
            <w:r w:rsidR="00D92F53">
              <w:rPr>
                <w:rFonts w:ascii="Arial" w:hAnsi="Arial" w:cs="Arial"/>
              </w:rPr>
              <w:t>. These gateways are tracked in CAFS</w:t>
            </w:r>
            <w:r w:rsidR="00BE5BA9">
              <w:rPr>
                <w:rFonts w:ascii="Arial" w:hAnsi="Arial" w:cs="Arial"/>
              </w:rPr>
              <w:t xml:space="preserve"> </w:t>
            </w:r>
            <w:proofErr w:type="spellStart"/>
            <w:r w:rsidR="00BE5BA9">
              <w:rPr>
                <w:rFonts w:ascii="Arial" w:hAnsi="Arial" w:cs="Arial"/>
              </w:rPr>
              <w:t>ePortfolio</w:t>
            </w:r>
            <w:proofErr w:type="spellEnd"/>
            <w:r w:rsidR="00BE5BA9">
              <w:rPr>
                <w:rFonts w:ascii="Arial" w:hAnsi="Arial" w:cs="Arial"/>
              </w:rPr>
              <w:t xml:space="preserve"> system</w:t>
            </w:r>
            <w:r w:rsidR="000F3DF9">
              <w:rPr>
                <w:rFonts w:ascii="Arial" w:hAnsi="Arial" w:cs="Arial"/>
              </w:rPr>
              <w:t xml:space="preserve"> </w:t>
            </w:r>
            <w:r w:rsidR="00BE5BA9">
              <w:rPr>
                <w:rFonts w:ascii="Arial" w:hAnsi="Arial" w:cs="Arial"/>
              </w:rPr>
              <w:t xml:space="preserve">which </w:t>
            </w:r>
            <w:r w:rsidR="000F3DF9">
              <w:rPr>
                <w:rFonts w:ascii="Arial" w:hAnsi="Arial" w:cs="Arial"/>
              </w:rPr>
              <w:t>facilitate</w:t>
            </w:r>
            <w:r w:rsidR="00BE5BA9">
              <w:rPr>
                <w:rFonts w:ascii="Arial" w:hAnsi="Arial" w:cs="Arial"/>
              </w:rPr>
              <w:t>s</w:t>
            </w:r>
            <w:r w:rsidR="000F3DF9">
              <w:rPr>
                <w:rFonts w:ascii="Arial" w:hAnsi="Arial" w:cs="Arial"/>
              </w:rPr>
              <w:t xml:space="preserve"> longitudinal assessment of progression through the gateways. </w:t>
            </w:r>
            <w:r w:rsidR="00670578">
              <w:rPr>
                <w:rFonts w:ascii="Arial" w:hAnsi="Arial" w:cs="Arial"/>
              </w:rPr>
              <w:t xml:space="preserve">This includes staff </w:t>
            </w:r>
            <w:r w:rsidR="002A3A71">
              <w:rPr>
                <w:rFonts w:ascii="Arial" w:hAnsi="Arial" w:cs="Arial"/>
              </w:rPr>
              <w:t>grad</w:t>
            </w:r>
            <w:r w:rsidR="00D37ADC">
              <w:rPr>
                <w:rFonts w:ascii="Arial" w:hAnsi="Arial" w:cs="Arial"/>
              </w:rPr>
              <w:t>ing and feedback</w:t>
            </w:r>
            <w:r w:rsidR="00670578">
              <w:rPr>
                <w:rFonts w:ascii="Arial" w:hAnsi="Arial" w:cs="Arial"/>
              </w:rPr>
              <w:t xml:space="preserve"> and </w:t>
            </w:r>
            <w:r w:rsidR="00D37ADC">
              <w:rPr>
                <w:rFonts w:ascii="Arial" w:hAnsi="Arial" w:cs="Arial"/>
              </w:rPr>
              <w:t xml:space="preserve">mandatory </w:t>
            </w:r>
            <w:r w:rsidR="00670578">
              <w:rPr>
                <w:rFonts w:ascii="Arial" w:hAnsi="Arial" w:cs="Arial"/>
              </w:rPr>
              <w:t>student reflections.</w:t>
            </w:r>
          </w:p>
          <w:p w14:paraId="759D6BB7" w14:textId="77777777" w:rsidR="00567B03" w:rsidRDefault="00567B03" w:rsidP="008C71F3">
            <w:pPr>
              <w:tabs>
                <w:tab w:val="left" w:pos="720"/>
                <w:tab w:val="left" w:pos="9248"/>
              </w:tabs>
              <w:ind w:right="34"/>
              <w:rPr>
                <w:rFonts w:ascii="Arial" w:hAnsi="Arial" w:cs="Arial"/>
              </w:rPr>
            </w:pPr>
          </w:p>
          <w:p w14:paraId="4CAFC1FE" w14:textId="44B8BDEC" w:rsidR="0027795C" w:rsidRDefault="000F3DF9" w:rsidP="008C71F3">
            <w:pPr>
              <w:tabs>
                <w:tab w:val="left" w:pos="720"/>
                <w:tab w:val="left" w:pos="9248"/>
              </w:tabs>
              <w:ind w:right="34"/>
              <w:rPr>
                <w:rFonts w:ascii="Arial" w:hAnsi="Arial" w:cs="Arial"/>
              </w:rPr>
            </w:pPr>
            <w:r>
              <w:rPr>
                <w:rFonts w:ascii="Arial" w:hAnsi="Arial" w:cs="Arial"/>
              </w:rPr>
              <w:t xml:space="preserve">The </w:t>
            </w:r>
            <w:proofErr w:type="gramStart"/>
            <w:r>
              <w:rPr>
                <w:rFonts w:ascii="Arial" w:hAnsi="Arial" w:cs="Arial"/>
              </w:rPr>
              <w:t>School</w:t>
            </w:r>
            <w:proofErr w:type="gramEnd"/>
            <w:r>
              <w:rPr>
                <w:rFonts w:ascii="Arial" w:hAnsi="Arial" w:cs="Arial"/>
              </w:rPr>
              <w:t xml:space="preserve"> </w:t>
            </w:r>
            <w:r w:rsidR="00AF48FB">
              <w:rPr>
                <w:rFonts w:ascii="Arial" w:hAnsi="Arial" w:cs="Arial"/>
              </w:rPr>
              <w:t xml:space="preserve">holds </w:t>
            </w:r>
            <w:r w:rsidR="006A05F9">
              <w:rPr>
                <w:rFonts w:ascii="Arial" w:hAnsi="Arial" w:cs="Arial"/>
              </w:rPr>
              <w:t>Gateway B</w:t>
            </w:r>
            <w:r w:rsidR="00AF48FB">
              <w:rPr>
                <w:rFonts w:ascii="Arial" w:hAnsi="Arial" w:cs="Arial"/>
              </w:rPr>
              <w:t xml:space="preserve">oard meetings </w:t>
            </w:r>
            <w:r w:rsidR="00567B03">
              <w:rPr>
                <w:rFonts w:ascii="Arial" w:hAnsi="Arial" w:cs="Arial"/>
              </w:rPr>
              <w:t xml:space="preserve">throughout the year </w:t>
            </w:r>
            <w:r w:rsidR="00AF48FB">
              <w:rPr>
                <w:rFonts w:ascii="Arial" w:hAnsi="Arial" w:cs="Arial"/>
              </w:rPr>
              <w:t xml:space="preserve">to assess </w:t>
            </w:r>
            <w:proofErr w:type="gramStart"/>
            <w:r w:rsidR="00AF48FB">
              <w:rPr>
                <w:rFonts w:ascii="Arial" w:hAnsi="Arial" w:cs="Arial"/>
              </w:rPr>
              <w:t>students</w:t>
            </w:r>
            <w:proofErr w:type="gramEnd"/>
            <w:r w:rsidR="00AF48FB">
              <w:rPr>
                <w:rFonts w:ascii="Arial" w:hAnsi="Arial" w:cs="Arial"/>
              </w:rPr>
              <w:t xml:space="preserve"> progression where their clinical numbers are </w:t>
            </w:r>
            <w:r w:rsidR="00FB3DFD">
              <w:rPr>
                <w:rFonts w:ascii="Arial" w:hAnsi="Arial" w:cs="Arial"/>
              </w:rPr>
              <w:t>integrated</w:t>
            </w:r>
            <w:r w:rsidR="00AF48FB">
              <w:rPr>
                <w:rFonts w:ascii="Arial" w:hAnsi="Arial" w:cs="Arial"/>
              </w:rPr>
              <w:t xml:space="preserve"> alongside the complexity of the cases and the </w:t>
            </w:r>
            <w:r w:rsidR="0007333A">
              <w:rPr>
                <w:rFonts w:ascii="Arial" w:hAnsi="Arial" w:cs="Arial"/>
              </w:rPr>
              <w:t>student’s</w:t>
            </w:r>
            <w:r w:rsidR="00AF48FB">
              <w:rPr>
                <w:rFonts w:ascii="Arial" w:hAnsi="Arial" w:cs="Arial"/>
              </w:rPr>
              <w:t xml:space="preserve"> </w:t>
            </w:r>
            <w:r w:rsidR="00FB3DFD">
              <w:rPr>
                <w:rFonts w:ascii="Arial" w:hAnsi="Arial" w:cs="Arial"/>
              </w:rPr>
              <w:t>professionalism</w:t>
            </w:r>
            <w:r w:rsidR="006A05F9">
              <w:rPr>
                <w:rFonts w:ascii="Arial" w:hAnsi="Arial" w:cs="Arial"/>
              </w:rPr>
              <w:t xml:space="preserve"> using attendance data and staff/tutor feedback</w:t>
            </w:r>
            <w:r w:rsidR="00E05961">
              <w:rPr>
                <w:rFonts w:ascii="Arial" w:hAnsi="Arial" w:cs="Arial"/>
              </w:rPr>
              <w:t>, as well as critical s</w:t>
            </w:r>
            <w:r w:rsidR="00332F65">
              <w:rPr>
                <w:rFonts w:ascii="Arial" w:hAnsi="Arial" w:cs="Arial"/>
              </w:rPr>
              <w:t>k</w:t>
            </w:r>
            <w:r w:rsidR="00E05961">
              <w:rPr>
                <w:rFonts w:ascii="Arial" w:hAnsi="Arial" w:cs="Arial"/>
              </w:rPr>
              <w:t>ills such as infection control</w:t>
            </w:r>
            <w:r w:rsidR="00FB3DFD">
              <w:rPr>
                <w:rFonts w:ascii="Arial" w:hAnsi="Arial" w:cs="Arial"/>
              </w:rPr>
              <w:t xml:space="preserve">. </w:t>
            </w:r>
            <w:r w:rsidR="00F85005">
              <w:rPr>
                <w:rFonts w:ascii="Arial" w:hAnsi="Arial" w:cs="Arial"/>
              </w:rPr>
              <w:t xml:space="preserve">Alongside this there are two “check in” points within the year to formatively and </w:t>
            </w:r>
            <w:proofErr w:type="spellStart"/>
            <w:r w:rsidR="00F85005">
              <w:rPr>
                <w:rFonts w:ascii="Arial" w:hAnsi="Arial" w:cs="Arial"/>
              </w:rPr>
              <w:t>summative</w:t>
            </w:r>
            <w:r w:rsidR="00126E90">
              <w:rPr>
                <w:rFonts w:ascii="Arial" w:hAnsi="Arial" w:cs="Arial"/>
              </w:rPr>
              <w:t>ly</w:t>
            </w:r>
            <w:proofErr w:type="spellEnd"/>
            <w:r w:rsidR="00F85005">
              <w:rPr>
                <w:rFonts w:ascii="Arial" w:hAnsi="Arial" w:cs="Arial"/>
              </w:rPr>
              <w:t xml:space="preserve"> “check in” on student progression. </w:t>
            </w:r>
            <w:r w:rsidR="00FB3DFD">
              <w:rPr>
                <w:rFonts w:ascii="Arial" w:hAnsi="Arial" w:cs="Arial"/>
              </w:rPr>
              <w:t xml:space="preserve">This produces a full picture of the </w:t>
            </w:r>
            <w:r w:rsidR="0007333A">
              <w:rPr>
                <w:rFonts w:ascii="Arial" w:hAnsi="Arial" w:cs="Arial"/>
              </w:rPr>
              <w:t>student’s</w:t>
            </w:r>
            <w:r w:rsidR="00FB3DFD">
              <w:rPr>
                <w:rFonts w:ascii="Arial" w:hAnsi="Arial" w:cs="Arial"/>
              </w:rPr>
              <w:t xml:space="preserve"> progression </w:t>
            </w:r>
            <w:r w:rsidR="0007333A">
              <w:rPr>
                <w:rFonts w:ascii="Arial" w:hAnsi="Arial" w:cs="Arial"/>
              </w:rPr>
              <w:t>providing assurance of the level of competence of the student.</w:t>
            </w:r>
            <w:r w:rsidR="00670578">
              <w:rPr>
                <w:rFonts w:ascii="Arial" w:hAnsi="Arial" w:cs="Arial"/>
              </w:rPr>
              <w:t xml:space="preserve"> </w:t>
            </w:r>
            <w:r w:rsidR="00FC34CA">
              <w:rPr>
                <w:rFonts w:ascii="Arial" w:hAnsi="Arial" w:cs="Arial"/>
              </w:rPr>
              <w:t xml:space="preserve">The completeness of this information allows the </w:t>
            </w:r>
            <w:proofErr w:type="gramStart"/>
            <w:r w:rsidR="00013A4A">
              <w:rPr>
                <w:rFonts w:ascii="Arial" w:hAnsi="Arial" w:cs="Arial"/>
              </w:rPr>
              <w:t>S</w:t>
            </w:r>
            <w:r w:rsidR="00FC34CA">
              <w:rPr>
                <w:rFonts w:ascii="Arial" w:hAnsi="Arial" w:cs="Arial"/>
              </w:rPr>
              <w:t>chool</w:t>
            </w:r>
            <w:proofErr w:type="gramEnd"/>
            <w:r w:rsidR="00FC34CA">
              <w:rPr>
                <w:rFonts w:ascii="Arial" w:hAnsi="Arial" w:cs="Arial"/>
              </w:rPr>
              <w:t xml:space="preserve"> to then be able to create bespoke plans for struggling students</w:t>
            </w:r>
            <w:r w:rsidR="00D258B9">
              <w:rPr>
                <w:rFonts w:ascii="Arial" w:hAnsi="Arial" w:cs="Arial"/>
              </w:rPr>
              <w:t xml:space="preserve">, or those </w:t>
            </w:r>
            <w:r w:rsidR="00B22648">
              <w:rPr>
                <w:rFonts w:ascii="Arial" w:hAnsi="Arial" w:cs="Arial"/>
              </w:rPr>
              <w:t>on a borderline pass,</w:t>
            </w:r>
            <w:r w:rsidR="00FC34CA">
              <w:rPr>
                <w:rFonts w:ascii="Arial" w:hAnsi="Arial" w:cs="Arial"/>
              </w:rPr>
              <w:t xml:space="preserve"> to ensure they are given extra teaching and support where required to assist them in completing their gateways.</w:t>
            </w:r>
            <w:r w:rsidR="002F4712">
              <w:rPr>
                <w:rFonts w:ascii="Arial" w:hAnsi="Arial" w:cs="Arial"/>
              </w:rPr>
              <w:t xml:space="preserve"> Students can be flagged within the system to senior management if there is a concern</w:t>
            </w:r>
            <w:r w:rsidR="007F2128">
              <w:rPr>
                <w:rFonts w:ascii="Arial" w:hAnsi="Arial" w:cs="Arial"/>
              </w:rPr>
              <w:t>.</w:t>
            </w:r>
            <w:r w:rsidR="004D09E3">
              <w:rPr>
                <w:rFonts w:ascii="Arial" w:hAnsi="Arial" w:cs="Arial"/>
              </w:rPr>
              <w:t xml:space="preserve"> Students </w:t>
            </w:r>
            <w:r w:rsidR="00B62CA1">
              <w:rPr>
                <w:rFonts w:ascii="Arial" w:hAnsi="Arial" w:cs="Arial"/>
              </w:rPr>
              <w:t>are notified when a flag is raised</w:t>
            </w:r>
            <w:r w:rsidR="00AB0549">
              <w:rPr>
                <w:rFonts w:ascii="Arial" w:hAnsi="Arial" w:cs="Arial"/>
              </w:rPr>
              <w:t xml:space="preserve"> regarding them contributing to the transparency of feedback between staff and students.</w:t>
            </w:r>
          </w:p>
          <w:p w14:paraId="54E57A2B" w14:textId="77777777" w:rsidR="00947417" w:rsidRDefault="00947417" w:rsidP="008C71F3">
            <w:pPr>
              <w:tabs>
                <w:tab w:val="left" w:pos="720"/>
                <w:tab w:val="left" w:pos="9248"/>
              </w:tabs>
              <w:ind w:right="34"/>
              <w:rPr>
                <w:rFonts w:ascii="Arial" w:hAnsi="Arial" w:cs="Arial"/>
              </w:rPr>
            </w:pPr>
          </w:p>
          <w:p w14:paraId="66E65085" w14:textId="481E0E74" w:rsidR="00947417" w:rsidRDefault="00947417" w:rsidP="008C71F3">
            <w:pPr>
              <w:tabs>
                <w:tab w:val="left" w:pos="720"/>
                <w:tab w:val="left" w:pos="9248"/>
              </w:tabs>
              <w:ind w:right="34"/>
              <w:rPr>
                <w:rFonts w:ascii="Arial" w:hAnsi="Arial" w:cs="Arial"/>
              </w:rPr>
            </w:pPr>
            <w:r>
              <w:rPr>
                <w:rFonts w:ascii="Arial" w:hAnsi="Arial" w:cs="Arial"/>
              </w:rPr>
              <w:t xml:space="preserve">The </w:t>
            </w:r>
            <w:proofErr w:type="gramStart"/>
            <w:r w:rsidR="00051044">
              <w:rPr>
                <w:rFonts w:ascii="Arial" w:hAnsi="Arial" w:cs="Arial"/>
              </w:rPr>
              <w:t>School</w:t>
            </w:r>
            <w:proofErr w:type="gramEnd"/>
            <w:r>
              <w:rPr>
                <w:rFonts w:ascii="Arial" w:hAnsi="Arial" w:cs="Arial"/>
              </w:rPr>
              <w:t xml:space="preserve"> operates a robust extenuating circumstances framework</w:t>
            </w:r>
            <w:r w:rsidR="002F3021">
              <w:rPr>
                <w:rFonts w:ascii="Arial" w:hAnsi="Arial" w:cs="Arial"/>
              </w:rPr>
              <w:t xml:space="preserve"> using the Universit</w:t>
            </w:r>
            <w:r w:rsidR="00F007BB">
              <w:rPr>
                <w:rFonts w:ascii="Arial" w:hAnsi="Arial" w:cs="Arial"/>
              </w:rPr>
              <w:t>y’s</w:t>
            </w:r>
            <w:r w:rsidR="002F3021">
              <w:rPr>
                <w:rFonts w:ascii="Arial" w:hAnsi="Arial" w:cs="Arial"/>
              </w:rPr>
              <w:t xml:space="preserve"> student support and wellbeing team.</w:t>
            </w:r>
            <w:r w:rsidR="00A43737">
              <w:rPr>
                <w:rFonts w:ascii="Arial" w:hAnsi="Arial" w:cs="Arial"/>
              </w:rPr>
              <w:t xml:space="preserve"> This also applies to students who require reasonable adjustments.</w:t>
            </w:r>
            <w:r w:rsidR="002F3021">
              <w:rPr>
                <w:rFonts w:ascii="Arial" w:hAnsi="Arial" w:cs="Arial"/>
              </w:rPr>
              <w:t xml:space="preserve"> Students must submit their request to the team </w:t>
            </w:r>
            <w:r w:rsidR="00051044">
              <w:rPr>
                <w:rFonts w:ascii="Arial" w:hAnsi="Arial" w:cs="Arial"/>
              </w:rPr>
              <w:t>including</w:t>
            </w:r>
            <w:r w:rsidR="002F3021">
              <w:rPr>
                <w:rFonts w:ascii="Arial" w:hAnsi="Arial" w:cs="Arial"/>
              </w:rPr>
              <w:t xml:space="preserve"> evidence</w:t>
            </w:r>
            <w:r w:rsidR="00F319E7">
              <w:rPr>
                <w:rFonts w:ascii="Arial" w:hAnsi="Arial" w:cs="Arial"/>
              </w:rPr>
              <w:t xml:space="preserve"> which is then considered by a </w:t>
            </w:r>
            <w:r w:rsidR="00051044">
              <w:rPr>
                <w:rFonts w:ascii="Arial" w:hAnsi="Arial" w:cs="Arial"/>
              </w:rPr>
              <w:t>panel</w:t>
            </w:r>
            <w:r w:rsidR="00F319E7">
              <w:rPr>
                <w:rFonts w:ascii="Arial" w:hAnsi="Arial" w:cs="Arial"/>
              </w:rPr>
              <w:t xml:space="preserve"> o</w:t>
            </w:r>
            <w:r w:rsidR="00051044">
              <w:rPr>
                <w:rFonts w:ascii="Arial" w:hAnsi="Arial" w:cs="Arial"/>
              </w:rPr>
              <w:t>f</w:t>
            </w:r>
            <w:r w:rsidR="00F319E7">
              <w:rPr>
                <w:rFonts w:ascii="Arial" w:hAnsi="Arial" w:cs="Arial"/>
              </w:rPr>
              <w:t xml:space="preserve"> academics. Students have clear guidance stipulating what types of things could be granted extenuating </w:t>
            </w:r>
            <w:r w:rsidR="00051044">
              <w:rPr>
                <w:rFonts w:ascii="Arial" w:hAnsi="Arial" w:cs="Arial"/>
              </w:rPr>
              <w:t>circumstances</w:t>
            </w:r>
            <w:r w:rsidR="00F319E7">
              <w:rPr>
                <w:rFonts w:ascii="Arial" w:hAnsi="Arial" w:cs="Arial"/>
              </w:rPr>
              <w:t xml:space="preserve"> and what will not. </w:t>
            </w:r>
            <w:r w:rsidR="007053A8">
              <w:rPr>
                <w:rFonts w:ascii="Arial" w:hAnsi="Arial" w:cs="Arial"/>
              </w:rPr>
              <w:t xml:space="preserve">Those who have their circumstances accepted are allowed </w:t>
            </w:r>
            <w:r w:rsidR="00051044">
              <w:rPr>
                <w:rFonts w:ascii="Arial" w:hAnsi="Arial" w:cs="Arial"/>
              </w:rPr>
              <w:t>another</w:t>
            </w:r>
            <w:r w:rsidR="007053A8">
              <w:rPr>
                <w:rFonts w:ascii="Arial" w:hAnsi="Arial" w:cs="Arial"/>
              </w:rPr>
              <w:t xml:space="preserve"> first attempt. The </w:t>
            </w:r>
            <w:proofErr w:type="gramStart"/>
            <w:r w:rsidR="007053A8">
              <w:rPr>
                <w:rFonts w:ascii="Arial" w:hAnsi="Arial" w:cs="Arial"/>
              </w:rPr>
              <w:t>School</w:t>
            </w:r>
            <w:proofErr w:type="gramEnd"/>
            <w:r w:rsidR="007053A8">
              <w:rPr>
                <w:rFonts w:ascii="Arial" w:hAnsi="Arial" w:cs="Arial"/>
              </w:rPr>
              <w:t xml:space="preserve"> </w:t>
            </w:r>
            <w:r w:rsidR="00051044">
              <w:rPr>
                <w:rFonts w:ascii="Arial" w:hAnsi="Arial" w:cs="Arial"/>
              </w:rPr>
              <w:t xml:space="preserve">and staff are also conscious of </w:t>
            </w:r>
            <w:proofErr w:type="gramStart"/>
            <w:r w:rsidR="00051044">
              <w:rPr>
                <w:rFonts w:ascii="Arial" w:hAnsi="Arial" w:cs="Arial"/>
              </w:rPr>
              <w:t>students</w:t>
            </w:r>
            <w:proofErr w:type="gramEnd"/>
            <w:r w:rsidR="00051044">
              <w:rPr>
                <w:rFonts w:ascii="Arial" w:hAnsi="Arial" w:cs="Arial"/>
              </w:rPr>
              <w:t xml:space="preserve"> circumstances and are comfortable discussing with students where it may be more appropriate for them to take a leave of absence, creating a bespoke plan for when they return.</w:t>
            </w:r>
          </w:p>
          <w:p w14:paraId="4AD354D9" w14:textId="77777777" w:rsidR="007123C8" w:rsidRDefault="007123C8" w:rsidP="008C71F3">
            <w:pPr>
              <w:tabs>
                <w:tab w:val="left" w:pos="720"/>
                <w:tab w:val="left" w:pos="9248"/>
              </w:tabs>
              <w:ind w:right="34"/>
              <w:rPr>
                <w:rFonts w:ascii="Arial" w:hAnsi="Arial" w:cs="Arial"/>
              </w:rPr>
            </w:pPr>
          </w:p>
          <w:p w14:paraId="2644C0A5" w14:textId="49B4575E" w:rsidR="007123C8" w:rsidRDefault="007123C8" w:rsidP="008C71F3">
            <w:pPr>
              <w:tabs>
                <w:tab w:val="left" w:pos="720"/>
                <w:tab w:val="left" w:pos="9248"/>
              </w:tabs>
              <w:ind w:right="34"/>
              <w:rPr>
                <w:rFonts w:ascii="Arial" w:hAnsi="Arial" w:cs="Arial"/>
              </w:rPr>
            </w:pPr>
            <w:r>
              <w:rPr>
                <w:rFonts w:ascii="Arial" w:hAnsi="Arial" w:cs="Arial"/>
              </w:rPr>
              <w:t>Outreach staff are given access to CAFS and are frequently involved in meetings to discuss student pro</w:t>
            </w:r>
            <w:r w:rsidR="006A727D">
              <w:rPr>
                <w:rFonts w:ascii="Arial" w:hAnsi="Arial" w:cs="Arial"/>
              </w:rPr>
              <w:t>gression.</w:t>
            </w:r>
            <w:r w:rsidR="007B42BE">
              <w:rPr>
                <w:rFonts w:ascii="Arial" w:hAnsi="Arial" w:cs="Arial"/>
              </w:rPr>
              <w:t xml:space="preserve"> Outreach staff are also able to enter information onto CAFS providing a complete record of student clinical activity.</w:t>
            </w:r>
          </w:p>
          <w:p w14:paraId="77634F99" w14:textId="77777777" w:rsidR="00AE3061" w:rsidRDefault="00AE3061" w:rsidP="008C71F3">
            <w:pPr>
              <w:tabs>
                <w:tab w:val="left" w:pos="720"/>
                <w:tab w:val="left" w:pos="9248"/>
              </w:tabs>
              <w:ind w:right="34"/>
              <w:rPr>
                <w:rFonts w:ascii="Arial" w:hAnsi="Arial" w:cs="Arial"/>
              </w:rPr>
            </w:pPr>
          </w:p>
          <w:p w14:paraId="4A0E63A6" w14:textId="5EE125A9" w:rsidR="00AE3061" w:rsidRDefault="00AE3061" w:rsidP="008C71F3">
            <w:pPr>
              <w:tabs>
                <w:tab w:val="left" w:pos="720"/>
                <w:tab w:val="left" w:pos="9248"/>
              </w:tabs>
              <w:ind w:right="34"/>
              <w:rPr>
                <w:rFonts w:ascii="Arial" w:hAnsi="Arial" w:cs="Arial"/>
              </w:rPr>
            </w:pPr>
            <w:r>
              <w:rPr>
                <w:rFonts w:ascii="Arial" w:hAnsi="Arial" w:cs="Arial"/>
              </w:rPr>
              <w:t xml:space="preserve">There is clear instruction given to </w:t>
            </w:r>
            <w:r w:rsidR="00567B03">
              <w:rPr>
                <w:rFonts w:ascii="Arial" w:hAnsi="Arial" w:cs="Arial"/>
              </w:rPr>
              <w:t>staff</w:t>
            </w:r>
            <w:r>
              <w:rPr>
                <w:rFonts w:ascii="Arial" w:hAnsi="Arial" w:cs="Arial"/>
              </w:rPr>
              <w:t xml:space="preserve"> and students about which </w:t>
            </w:r>
            <w:r w:rsidR="00AF320F">
              <w:rPr>
                <w:rFonts w:ascii="Arial" w:hAnsi="Arial" w:cs="Arial"/>
              </w:rPr>
              <w:t xml:space="preserve">gateways have capped attempts, with </w:t>
            </w:r>
            <w:r w:rsidR="00567B03">
              <w:rPr>
                <w:rFonts w:ascii="Arial" w:hAnsi="Arial" w:cs="Arial"/>
              </w:rPr>
              <w:t xml:space="preserve">three internal and a fourth external attempt allowed for </w:t>
            </w:r>
            <w:r w:rsidR="00034B65">
              <w:rPr>
                <w:rFonts w:ascii="Arial" w:hAnsi="Arial" w:cs="Arial"/>
              </w:rPr>
              <w:t>selected</w:t>
            </w:r>
            <w:r w:rsidR="00567B03">
              <w:rPr>
                <w:rFonts w:ascii="Arial" w:hAnsi="Arial" w:cs="Arial"/>
              </w:rPr>
              <w:t xml:space="preserve"> gateways.</w:t>
            </w:r>
            <w:r w:rsidR="00A12BAA">
              <w:rPr>
                <w:rFonts w:ascii="Arial" w:hAnsi="Arial" w:cs="Arial"/>
              </w:rPr>
              <w:t xml:space="preserve"> Students reported that they ha</w:t>
            </w:r>
            <w:r w:rsidR="00560202">
              <w:rPr>
                <w:rFonts w:ascii="Arial" w:hAnsi="Arial" w:cs="Arial"/>
              </w:rPr>
              <w:t>ve</w:t>
            </w:r>
            <w:r w:rsidR="00A12BAA">
              <w:rPr>
                <w:rFonts w:ascii="Arial" w:hAnsi="Arial" w:cs="Arial"/>
              </w:rPr>
              <w:t xml:space="preserve"> a clear understanding about </w:t>
            </w:r>
            <w:r w:rsidR="00682437">
              <w:rPr>
                <w:rFonts w:ascii="Arial" w:hAnsi="Arial" w:cs="Arial"/>
              </w:rPr>
              <w:t>what the expectations were.</w:t>
            </w:r>
          </w:p>
          <w:p w14:paraId="02EE204C" w14:textId="77777777" w:rsidR="007A45A8" w:rsidRDefault="007A45A8" w:rsidP="008C71F3">
            <w:pPr>
              <w:tabs>
                <w:tab w:val="left" w:pos="720"/>
                <w:tab w:val="left" w:pos="9248"/>
              </w:tabs>
              <w:ind w:right="34"/>
              <w:rPr>
                <w:rFonts w:ascii="Arial" w:hAnsi="Arial" w:cs="Arial"/>
              </w:rPr>
            </w:pPr>
          </w:p>
          <w:p w14:paraId="02FF3F95" w14:textId="0A3E955E" w:rsidR="007A45A8" w:rsidRPr="007A45A8" w:rsidRDefault="007A45A8" w:rsidP="008C71F3">
            <w:pPr>
              <w:tabs>
                <w:tab w:val="left" w:pos="720"/>
                <w:tab w:val="left" w:pos="9248"/>
              </w:tabs>
              <w:ind w:right="34"/>
              <w:rPr>
                <w:rFonts w:ascii="Arial" w:hAnsi="Arial" w:cs="Arial"/>
              </w:rPr>
            </w:pPr>
            <w:r>
              <w:rPr>
                <w:rFonts w:ascii="Arial" w:hAnsi="Arial" w:cs="Arial"/>
              </w:rPr>
              <w:t>The panel was assured by the information provided prior to the inspection and further by the information shared during the inspection that</w:t>
            </w:r>
            <w:r w:rsidR="007578FF">
              <w:rPr>
                <w:rFonts w:ascii="Arial" w:hAnsi="Arial" w:cs="Arial"/>
              </w:rPr>
              <w:t xml:space="preserve"> students </w:t>
            </w:r>
            <w:r w:rsidR="003E0458">
              <w:rPr>
                <w:rFonts w:ascii="Arial" w:hAnsi="Arial" w:cs="Arial"/>
              </w:rPr>
              <w:t>only provide patient care once they have demonstrated adequate knowledge and skills and that</w:t>
            </w:r>
            <w:r>
              <w:rPr>
                <w:rFonts w:ascii="Arial" w:hAnsi="Arial" w:cs="Arial"/>
              </w:rPr>
              <w:t xml:space="preserve"> this requirement is </w:t>
            </w:r>
            <w:r>
              <w:rPr>
                <w:rFonts w:ascii="Arial" w:hAnsi="Arial" w:cs="Arial"/>
                <w:b/>
                <w:bCs/>
              </w:rPr>
              <w:t>Met.</w:t>
            </w:r>
          </w:p>
          <w:p w14:paraId="7FA76345" w14:textId="77777777" w:rsidR="00E2148E" w:rsidRPr="0084743E" w:rsidRDefault="00E2148E" w:rsidP="008C71F3">
            <w:pPr>
              <w:tabs>
                <w:tab w:val="left" w:pos="720"/>
              </w:tabs>
              <w:ind w:right="2789"/>
              <w:rPr>
                <w:rFonts w:ascii="Arial" w:eastAsia="Calibri" w:hAnsi="Arial" w:cs="Arial"/>
                <w:color w:val="000000" w:themeColor="text1"/>
              </w:rPr>
            </w:pPr>
          </w:p>
          <w:p w14:paraId="15053E8F" w14:textId="5B8DEE4C" w:rsidR="00E2148E" w:rsidRPr="00CE1FEA" w:rsidRDefault="00E2148E" w:rsidP="008C71F3">
            <w:pPr>
              <w:tabs>
                <w:tab w:val="left" w:pos="720"/>
                <w:tab w:val="left" w:pos="9214"/>
              </w:tabs>
              <w:ind w:right="34"/>
              <w:rPr>
                <w:rFonts w:ascii="Arial" w:eastAsia="Calibri" w:hAnsi="Arial" w:cs="Arial"/>
                <w:b/>
                <w:color w:val="7F7F7F" w:themeColor="text1" w:themeTint="80"/>
              </w:rPr>
            </w:pPr>
            <w:r w:rsidRPr="00CE1FEA">
              <w:rPr>
                <w:rFonts w:ascii="Arial" w:eastAsia="Calibri" w:hAnsi="Arial" w:cs="Arial"/>
                <w:b/>
                <w:color w:val="7F7F7F" w:themeColor="text1" w:themeTint="80"/>
              </w:rPr>
              <w:t xml:space="preserve">Requirement 2: Providers must have systems in place to inform patients that they may be treated by students and the possible implications of this. Patient agreement to treatment by a student must be obtained and recorded prior to treatment commencing. </w:t>
            </w:r>
            <w:r w:rsidRPr="00CE1FEA">
              <w:rPr>
                <w:rFonts w:ascii="Arial" w:eastAsia="Calibri" w:hAnsi="Arial" w:cs="Arial"/>
                <w:b/>
                <w:i/>
                <w:color w:val="7F7F7F" w:themeColor="text1" w:themeTint="80"/>
              </w:rPr>
              <w:t>(Requirement Met)</w:t>
            </w:r>
          </w:p>
          <w:p w14:paraId="053DA5B5" w14:textId="77777777" w:rsidR="00E2148E" w:rsidRPr="00CE1FEA" w:rsidRDefault="00E2148E" w:rsidP="008C71F3">
            <w:pPr>
              <w:tabs>
                <w:tab w:val="left" w:pos="720"/>
                <w:tab w:val="left" w:pos="9214"/>
              </w:tabs>
              <w:ind w:right="176"/>
              <w:rPr>
                <w:rFonts w:ascii="Arial" w:hAnsi="Arial" w:cs="Arial"/>
                <w:color w:val="7F7F7F" w:themeColor="text1" w:themeTint="80"/>
              </w:rPr>
            </w:pPr>
          </w:p>
          <w:p w14:paraId="1AD7F6F9" w14:textId="0D84CCFD" w:rsidR="00E2148E" w:rsidRPr="00CE1FEA" w:rsidRDefault="00E2148E" w:rsidP="008C71F3">
            <w:pPr>
              <w:tabs>
                <w:tab w:val="left" w:pos="720"/>
                <w:tab w:val="left" w:pos="9214"/>
              </w:tabs>
              <w:ind w:right="34"/>
              <w:rPr>
                <w:rFonts w:ascii="Arial" w:eastAsia="Calibri" w:hAnsi="Arial" w:cs="Arial"/>
                <w:b/>
                <w:color w:val="7F7F7F" w:themeColor="text1" w:themeTint="80"/>
              </w:rPr>
            </w:pPr>
            <w:r w:rsidRPr="00CE1FEA">
              <w:rPr>
                <w:rFonts w:ascii="Arial" w:eastAsia="Calibri" w:hAnsi="Arial" w:cs="Arial"/>
                <w:b/>
                <w:color w:val="7F7F7F" w:themeColor="text1" w:themeTint="80"/>
              </w:rPr>
              <w:lastRenderedPageBreak/>
              <w:t xml:space="preserve">Requirement 3: Students must only provide patient care in an environment which is safe and appropriate. The provider must comply with relevant legislation and requirements regarding patient care, including equality and diversity, wherever treatment takes place. </w:t>
            </w:r>
            <w:r w:rsidRPr="00CE1FEA">
              <w:rPr>
                <w:rFonts w:ascii="Arial" w:eastAsia="Calibri" w:hAnsi="Arial" w:cs="Arial"/>
                <w:b/>
                <w:i/>
                <w:color w:val="7F7F7F" w:themeColor="text1" w:themeTint="80"/>
              </w:rPr>
              <w:t>(Requirement Met)</w:t>
            </w:r>
          </w:p>
          <w:p w14:paraId="79B38032" w14:textId="77777777" w:rsidR="00E2148E" w:rsidRPr="0084743E" w:rsidRDefault="00E2148E" w:rsidP="008C71F3">
            <w:pPr>
              <w:tabs>
                <w:tab w:val="left" w:pos="720"/>
                <w:tab w:val="left" w:pos="9214"/>
              </w:tabs>
              <w:ind w:left="357" w:right="2789" w:hanging="357"/>
              <w:rPr>
                <w:rFonts w:ascii="Arial" w:eastAsia="Calibri" w:hAnsi="Arial" w:cs="Arial"/>
                <w:color w:val="000000" w:themeColor="text1"/>
              </w:rPr>
            </w:pPr>
          </w:p>
          <w:p w14:paraId="7649FE10" w14:textId="566627BE" w:rsidR="00E2148E" w:rsidRDefault="00E2148E" w:rsidP="008C71F3">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Requirement 4: When providing patient care and services, providers must ensure that students are supervised appropriately according to the activity and the student’s stage of development</w:t>
            </w:r>
            <w:r w:rsidRPr="00EC0D08">
              <w:rPr>
                <w:rFonts w:ascii="Arial" w:eastAsia="Calibri" w:hAnsi="Arial" w:cs="Arial"/>
                <w:b/>
                <w:color w:val="000000" w:themeColor="text1"/>
              </w:rPr>
              <w:t xml:space="preserve">. </w:t>
            </w:r>
            <w:r w:rsidRPr="00EC0D08">
              <w:rPr>
                <w:rFonts w:ascii="Arial" w:eastAsia="Calibri" w:hAnsi="Arial" w:cs="Arial"/>
                <w:b/>
                <w:i/>
                <w:color w:val="000000" w:themeColor="text1"/>
              </w:rPr>
              <w:t>(Requirement</w:t>
            </w:r>
            <w:r w:rsidR="004A6178" w:rsidRPr="00EC0D08">
              <w:rPr>
                <w:rFonts w:ascii="Arial" w:eastAsia="Calibri" w:hAnsi="Arial" w:cs="Arial"/>
                <w:b/>
                <w:i/>
                <w:color w:val="000000" w:themeColor="text1"/>
              </w:rPr>
              <w:t xml:space="preserve"> </w:t>
            </w:r>
            <w:r w:rsidR="003835BD" w:rsidRPr="00EC0D08">
              <w:rPr>
                <w:rFonts w:ascii="Arial" w:eastAsia="Calibri" w:hAnsi="Arial" w:cs="Arial"/>
                <w:b/>
                <w:i/>
                <w:color w:val="000000" w:themeColor="text1"/>
              </w:rPr>
              <w:t>Met</w:t>
            </w:r>
            <w:r w:rsidRPr="00EC0D08">
              <w:rPr>
                <w:rFonts w:ascii="Arial" w:eastAsia="Calibri" w:hAnsi="Arial" w:cs="Arial"/>
                <w:b/>
                <w:i/>
                <w:color w:val="000000" w:themeColor="text1"/>
              </w:rPr>
              <w:t>)</w:t>
            </w:r>
          </w:p>
          <w:p w14:paraId="11EEA309" w14:textId="77777777" w:rsidR="00EC0D08" w:rsidRDefault="00EC0D08" w:rsidP="008C71F3">
            <w:pPr>
              <w:tabs>
                <w:tab w:val="left" w:pos="720"/>
                <w:tab w:val="left" w:pos="9214"/>
              </w:tabs>
              <w:ind w:right="34"/>
              <w:rPr>
                <w:rFonts w:ascii="Arial" w:eastAsia="Calibri" w:hAnsi="Arial" w:cs="Arial"/>
                <w:b/>
                <w:i/>
                <w:color w:val="000000" w:themeColor="text1"/>
              </w:rPr>
            </w:pPr>
          </w:p>
          <w:p w14:paraId="67A386D2" w14:textId="5706FFD0" w:rsidR="00EC0D08" w:rsidRDefault="007421A8"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Patient access does not begin for students until the end of year </w:t>
            </w:r>
            <w:r w:rsidR="009E698D">
              <w:rPr>
                <w:rFonts w:ascii="Arial" w:eastAsia="Calibri" w:hAnsi="Arial" w:cs="Arial"/>
                <w:bCs/>
                <w:iCs/>
                <w:color w:val="000000" w:themeColor="text1"/>
              </w:rPr>
              <w:t>two</w:t>
            </w:r>
            <w:r w:rsidR="0005020E">
              <w:rPr>
                <w:rFonts w:ascii="Arial" w:eastAsia="Calibri" w:hAnsi="Arial" w:cs="Arial"/>
                <w:bCs/>
                <w:iCs/>
                <w:color w:val="000000" w:themeColor="text1"/>
              </w:rPr>
              <w:t xml:space="preserve"> other than for observations. </w:t>
            </w:r>
            <w:proofErr w:type="spellStart"/>
            <w:r w:rsidR="00D93CB8">
              <w:rPr>
                <w:rFonts w:ascii="Arial" w:eastAsia="Calibri" w:hAnsi="Arial" w:cs="Arial"/>
                <w:bCs/>
                <w:iCs/>
                <w:color w:val="000000" w:themeColor="text1"/>
              </w:rPr>
              <w:t>Staff:S</w:t>
            </w:r>
            <w:r w:rsidR="00EC0D08" w:rsidRPr="00EC0D08">
              <w:rPr>
                <w:rFonts w:ascii="Arial" w:eastAsia="Calibri" w:hAnsi="Arial" w:cs="Arial"/>
                <w:bCs/>
                <w:iCs/>
                <w:color w:val="000000" w:themeColor="text1"/>
              </w:rPr>
              <w:t>tudent</w:t>
            </w:r>
            <w:proofErr w:type="spellEnd"/>
            <w:r w:rsidR="00EC0D08" w:rsidRPr="00EC0D08">
              <w:rPr>
                <w:rFonts w:ascii="Arial" w:eastAsia="Calibri" w:hAnsi="Arial" w:cs="Arial"/>
                <w:bCs/>
                <w:iCs/>
                <w:color w:val="000000" w:themeColor="text1"/>
              </w:rPr>
              <w:t xml:space="preserve"> ratios are</w:t>
            </w:r>
            <w:r w:rsidR="00EC0D08">
              <w:rPr>
                <w:rFonts w:ascii="Arial" w:eastAsia="Calibri" w:hAnsi="Arial" w:cs="Arial"/>
                <w:bCs/>
                <w:iCs/>
                <w:color w:val="000000" w:themeColor="text1"/>
              </w:rPr>
              <w:t xml:space="preserve"> </w:t>
            </w:r>
            <w:r w:rsidR="004F1BDC">
              <w:rPr>
                <w:rFonts w:ascii="Arial" w:eastAsia="Calibri" w:hAnsi="Arial" w:cs="Arial"/>
                <w:bCs/>
                <w:iCs/>
                <w:color w:val="000000" w:themeColor="text1"/>
              </w:rPr>
              <w:t>sufficient on clinic with staff responsible for three to four students each</w:t>
            </w:r>
            <w:r w:rsidR="0005020E">
              <w:rPr>
                <w:rFonts w:ascii="Arial" w:eastAsia="Calibri" w:hAnsi="Arial" w:cs="Arial"/>
                <w:bCs/>
                <w:iCs/>
                <w:color w:val="000000" w:themeColor="text1"/>
              </w:rPr>
              <w:t xml:space="preserve"> to begin with, this ratio is decreased through the years to build students towards independence</w:t>
            </w:r>
            <w:r w:rsidR="004F1BDC">
              <w:rPr>
                <w:rFonts w:ascii="Arial" w:eastAsia="Calibri" w:hAnsi="Arial" w:cs="Arial"/>
                <w:bCs/>
                <w:iCs/>
                <w:color w:val="000000" w:themeColor="text1"/>
              </w:rPr>
              <w:t xml:space="preserve">. </w:t>
            </w:r>
            <w:r w:rsidR="00E35638">
              <w:rPr>
                <w:rFonts w:ascii="Arial" w:eastAsia="Calibri" w:hAnsi="Arial" w:cs="Arial"/>
                <w:bCs/>
                <w:iCs/>
                <w:color w:val="000000" w:themeColor="text1"/>
              </w:rPr>
              <w:t>The staff on clinic are made aware and have access to information which indicates students who may require more supervision than others</w:t>
            </w:r>
            <w:r w:rsidR="00FF2838">
              <w:rPr>
                <w:rFonts w:ascii="Arial" w:eastAsia="Calibri" w:hAnsi="Arial" w:cs="Arial"/>
                <w:bCs/>
                <w:iCs/>
                <w:color w:val="000000" w:themeColor="text1"/>
              </w:rPr>
              <w:t>. They are also informed about the procedures taking place on clinic</w:t>
            </w:r>
            <w:r w:rsidR="00EC7FBB">
              <w:rPr>
                <w:rFonts w:ascii="Arial" w:eastAsia="Calibri" w:hAnsi="Arial" w:cs="Arial"/>
                <w:bCs/>
                <w:iCs/>
                <w:color w:val="000000" w:themeColor="text1"/>
              </w:rPr>
              <w:t>, and how complex they may be.</w:t>
            </w:r>
            <w:r w:rsidR="00E35638">
              <w:rPr>
                <w:rFonts w:ascii="Arial" w:eastAsia="Calibri" w:hAnsi="Arial" w:cs="Arial"/>
                <w:bCs/>
                <w:iCs/>
                <w:color w:val="000000" w:themeColor="text1"/>
              </w:rPr>
              <w:t xml:space="preserve"> </w:t>
            </w:r>
            <w:r w:rsidR="00EC7FBB">
              <w:rPr>
                <w:rFonts w:ascii="Arial" w:eastAsia="Calibri" w:hAnsi="Arial" w:cs="Arial"/>
                <w:bCs/>
                <w:iCs/>
                <w:color w:val="000000" w:themeColor="text1"/>
              </w:rPr>
              <w:t>T</w:t>
            </w:r>
            <w:r w:rsidR="00E35638">
              <w:rPr>
                <w:rFonts w:ascii="Arial" w:eastAsia="Calibri" w:hAnsi="Arial" w:cs="Arial"/>
                <w:bCs/>
                <w:iCs/>
                <w:color w:val="000000" w:themeColor="text1"/>
              </w:rPr>
              <w:t xml:space="preserve">his allows for tailored supervision, and </w:t>
            </w:r>
            <w:r w:rsidR="00167BBE">
              <w:rPr>
                <w:rFonts w:ascii="Arial" w:eastAsia="Calibri" w:hAnsi="Arial" w:cs="Arial"/>
                <w:bCs/>
                <w:iCs/>
                <w:color w:val="000000" w:themeColor="text1"/>
              </w:rPr>
              <w:t>dynamic</w:t>
            </w:r>
            <w:r w:rsidR="00E35638">
              <w:rPr>
                <w:rFonts w:ascii="Arial" w:eastAsia="Calibri" w:hAnsi="Arial" w:cs="Arial"/>
                <w:bCs/>
                <w:iCs/>
                <w:color w:val="000000" w:themeColor="text1"/>
              </w:rPr>
              <w:t xml:space="preserve"> timetabling of staff and students on clinic</w:t>
            </w:r>
            <w:r w:rsidR="00EC7FBB">
              <w:rPr>
                <w:rFonts w:ascii="Arial" w:eastAsia="Calibri" w:hAnsi="Arial" w:cs="Arial"/>
                <w:bCs/>
                <w:iCs/>
                <w:color w:val="000000" w:themeColor="text1"/>
              </w:rPr>
              <w:t xml:space="preserve"> to facilitate weaker students or more complex procedures</w:t>
            </w:r>
            <w:r w:rsidR="00E35638">
              <w:rPr>
                <w:rFonts w:ascii="Arial" w:eastAsia="Calibri" w:hAnsi="Arial" w:cs="Arial"/>
                <w:bCs/>
                <w:iCs/>
                <w:color w:val="000000" w:themeColor="text1"/>
              </w:rPr>
              <w:t>.</w:t>
            </w:r>
            <w:r w:rsidR="004F1BDC">
              <w:rPr>
                <w:rFonts w:ascii="Arial" w:eastAsia="Calibri" w:hAnsi="Arial" w:cs="Arial"/>
                <w:bCs/>
                <w:iCs/>
                <w:color w:val="000000" w:themeColor="text1"/>
              </w:rPr>
              <w:t xml:space="preserve"> </w:t>
            </w:r>
            <w:r w:rsidR="00503F30">
              <w:rPr>
                <w:rFonts w:ascii="Arial" w:eastAsia="Calibri" w:hAnsi="Arial" w:cs="Arial"/>
                <w:bCs/>
                <w:iCs/>
                <w:color w:val="000000" w:themeColor="text1"/>
              </w:rPr>
              <w:t xml:space="preserve">The staff </w:t>
            </w:r>
            <w:r w:rsidR="00205E56">
              <w:rPr>
                <w:rFonts w:ascii="Arial" w:eastAsia="Calibri" w:hAnsi="Arial" w:cs="Arial"/>
                <w:bCs/>
                <w:iCs/>
                <w:color w:val="000000" w:themeColor="text1"/>
              </w:rPr>
              <w:t>are encouraged to get to know their students well so they are aware of their strengths and weaknesses and can again tailor their level of supervision appropriately.</w:t>
            </w:r>
            <w:r w:rsidR="00A317E7">
              <w:rPr>
                <w:rFonts w:ascii="Arial" w:eastAsia="Calibri" w:hAnsi="Arial" w:cs="Arial"/>
                <w:bCs/>
                <w:iCs/>
                <w:color w:val="000000" w:themeColor="text1"/>
              </w:rPr>
              <w:t xml:space="preserve"> </w:t>
            </w:r>
            <w:r w:rsidR="00913C9A">
              <w:rPr>
                <w:rFonts w:ascii="Arial" w:eastAsia="Calibri" w:hAnsi="Arial" w:cs="Arial"/>
                <w:bCs/>
                <w:iCs/>
                <w:color w:val="000000" w:themeColor="text1"/>
              </w:rPr>
              <w:t>Any</w:t>
            </w:r>
            <w:r w:rsidR="0089339E">
              <w:rPr>
                <w:rFonts w:ascii="Arial" w:eastAsia="Calibri" w:hAnsi="Arial" w:cs="Arial"/>
                <w:bCs/>
                <w:iCs/>
                <w:color w:val="000000" w:themeColor="text1"/>
              </w:rPr>
              <w:t xml:space="preserve"> </w:t>
            </w:r>
            <w:r w:rsidR="00913C9A">
              <w:rPr>
                <w:rFonts w:ascii="Arial" w:eastAsia="Calibri" w:hAnsi="Arial" w:cs="Arial"/>
                <w:bCs/>
                <w:iCs/>
                <w:color w:val="000000" w:themeColor="text1"/>
              </w:rPr>
              <w:t xml:space="preserve">new member of staff would have access to this information on </w:t>
            </w:r>
            <w:r w:rsidR="0089339E">
              <w:rPr>
                <w:rFonts w:ascii="Arial" w:eastAsia="Calibri" w:hAnsi="Arial" w:cs="Arial"/>
                <w:bCs/>
                <w:iCs/>
                <w:color w:val="000000" w:themeColor="text1"/>
              </w:rPr>
              <w:t>C</w:t>
            </w:r>
            <w:r w:rsidR="00913C9A">
              <w:rPr>
                <w:rFonts w:ascii="Arial" w:eastAsia="Calibri" w:hAnsi="Arial" w:cs="Arial"/>
                <w:bCs/>
                <w:iCs/>
                <w:color w:val="000000" w:themeColor="text1"/>
              </w:rPr>
              <w:t xml:space="preserve">AFS and would be </w:t>
            </w:r>
            <w:r w:rsidR="0089339E">
              <w:rPr>
                <w:rFonts w:ascii="Arial" w:eastAsia="Calibri" w:hAnsi="Arial" w:cs="Arial"/>
                <w:bCs/>
                <w:iCs/>
                <w:color w:val="000000" w:themeColor="text1"/>
              </w:rPr>
              <w:t>informed of higher risk students during clinical huddles.</w:t>
            </w:r>
          </w:p>
          <w:p w14:paraId="6348041E" w14:textId="77777777" w:rsidR="00E35638" w:rsidRDefault="00E35638" w:rsidP="008C71F3">
            <w:pPr>
              <w:tabs>
                <w:tab w:val="left" w:pos="720"/>
                <w:tab w:val="left" w:pos="9214"/>
              </w:tabs>
              <w:ind w:right="34"/>
              <w:rPr>
                <w:rFonts w:ascii="Arial" w:eastAsia="Calibri" w:hAnsi="Arial" w:cs="Arial"/>
                <w:bCs/>
                <w:iCs/>
                <w:color w:val="000000" w:themeColor="text1"/>
              </w:rPr>
            </w:pPr>
          </w:p>
          <w:p w14:paraId="224C6F10" w14:textId="0713C2DE" w:rsidR="00E35638" w:rsidRDefault="00E35638"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w:t>
            </w:r>
            <w:proofErr w:type="gramStart"/>
            <w:r>
              <w:rPr>
                <w:rFonts w:ascii="Arial" w:eastAsia="Calibri" w:hAnsi="Arial" w:cs="Arial"/>
                <w:bCs/>
                <w:iCs/>
                <w:color w:val="000000" w:themeColor="text1"/>
              </w:rPr>
              <w:t>School</w:t>
            </w:r>
            <w:proofErr w:type="gramEnd"/>
            <w:r>
              <w:rPr>
                <w:rFonts w:ascii="Arial" w:eastAsia="Calibri" w:hAnsi="Arial" w:cs="Arial"/>
                <w:bCs/>
                <w:iCs/>
                <w:color w:val="000000" w:themeColor="text1"/>
              </w:rPr>
              <w:t xml:space="preserve"> uses a “Head of Firm” approach, dividing </w:t>
            </w:r>
            <w:r w:rsidR="00F55144">
              <w:rPr>
                <w:rFonts w:ascii="Arial" w:eastAsia="Calibri" w:hAnsi="Arial" w:cs="Arial"/>
                <w:bCs/>
                <w:iCs/>
                <w:color w:val="000000" w:themeColor="text1"/>
              </w:rPr>
              <w:t>each</w:t>
            </w:r>
            <w:r>
              <w:rPr>
                <w:rFonts w:ascii="Arial" w:eastAsia="Calibri" w:hAnsi="Arial" w:cs="Arial"/>
                <w:bCs/>
                <w:iCs/>
                <w:color w:val="000000" w:themeColor="text1"/>
              </w:rPr>
              <w:t xml:space="preserve"> year group into three w</w:t>
            </w:r>
            <w:r w:rsidR="00205E56">
              <w:rPr>
                <w:rFonts w:ascii="Arial" w:eastAsia="Calibri" w:hAnsi="Arial" w:cs="Arial"/>
                <w:bCs/>
                <w:iCs/>
                <w:color w:val="000000" w:themeColor="text1"/>
              </w:rPr>
              <w:t>ith</w:t>
            </w:r>
            <w:r>
              <w:rPr>
                <w:rFonts w:ascii="Arial" w:eastAsia="Calibri" w:hAnsi="Arial" w:cs="Arial"/>
                <w:bCs/>
                <w:iCs/>
                <w:color w:val="000000" w:themeColor="text1"/>
              </w:rPr>
              <w:t xml:space="preserve"> a Head of Firm responsible for each third.</w:t>
            </w:r>
            <w:r w:rsidR="00205E56">
              <w:rPr>
                <w:rFonts w:ascii="Arial" w:eastAsia="Calibri" w:hAnsi="Arial" w:cs="Arial"/>
                <w:bCs/>
                <w:iCs/>
                <w:color w:val="000000" w:themeColor="text1"/>
              </w:rPr>
              <w:t xml:space="preserve"> </w:t>
            </w:r>
            <w:r w:rsidR="00C73201">
              <w:rPr>
                <w:rFonts w:ascii="Arial" w:eastAsia="Calibri" w:hAnsi="Arial" w:cs="Arial"/>
                <w:bCs/>
                <w:iCs/>
                <w:color w:val="000000" w:themeColor="text1"/>
              </w:rPr>
              <w:t xml:space="preserve">Not only does this allow each head to focus on their students and </w:t>
            </w:r>
            <w:r w:rsidR="00FB2D93">
              <w:rPr>
                <w:rFonts w:ascii="Arial" w:eastAsia="Calibri" w:hAnsi="Arial" w:cs="Arial"/>
                <w:bCs/>
                <w:iCs/>
                <w:color w:val="000000" w:themeColor="text1"/>
              </w:rPr>
              <w:t>get to know them</w:t>
            </w:r>
            <w:r w:rsidR="00F007BB">
              <w:rPr>
                <w:rFonts w:ascii="Arial" w:eastAsia="Calibri" w:hAnsi="Arial" w:cs="Arial"/>
                <w:bCs/>
                <w:iCs/>
                <w:color w:val="000000" w:themeColor="text1"/>
              </w:rPr>
              <w:t xml:space="preserve">, </w:t>
            </w:r>
            <w:proofErr w:type="gramStart"/>
            <w:r w:rsidR="00F007BB">
              <w:rPr>
                <w:rFonts w:ascii="Arial" w:eastAsia="Calibri" w:hAnsi="Arial" w:cs="Arial"/>
                <w:bCs/>
                <w:iCs/>
                <w:color w:val="000000" w:themeColor="text1"/>
              </w:rPr>
              <w:t>i</w:t>
            </w:r>
            <w:r w:rsidR="00FB2D93">
              <w:rPr>
                <w:rFonts w:ascii="Arial" w:eastAsia="Calibri" w:hAnsi="Arial" w:cs="Arial"/>
                <w:bCs/>
                <w:iCs/>
                <w:color w:val="000000" w:themeColor="text1"/>
              </w:rPr>
              <w:t>t</w:t>
            </w:r>
            <w:proofErr w:type="gramEnd"/>
            <w:r w:rsidR="00FB2D93">
              <w:rPr>
                <w:rFonts w:ascii="Arial" w:eastAsia="Calibri" w:hAnsi="Arial" w:cs="Arial"/>
                <w:bCs/>
                <w:iCs/>
                <w:color w:val="000000" w:themeColor="text1"/>
              </w:rPr>
              <w:t xml:space="preserve"> gives students an extra level of support which the students spoke very highly of. The students </w:t>
            </w:r>
            <w:r w:rsidR="00456FCA">
              <w:rPr>
                <w:rFonts w:ascii="Arial" w:eastAsia="Calibri" w:hAnsi="Arial" w:cs="Arial"/>
                <w:bCs/>
                <w:iCs/>
                <w:color w:val="000000" w:themeColor="text1"/>
              </w:rPr>
              <w:t>felt the Heads of Firm were not only there to advise them academically and support them in their clinical skills, bu</w:t>
            </w:r>
            <w:r w:rsidR="008C772C">
              <w:rPr>
                <w:rFonts w:ascii="Arial" w:eastAsia="Calibri" w:hAnsi="Arial" w:cs="Arial"/>
                <w:bCs/>
                <w:iCs/>
                <w:color w:val="000000" w:themeColor="text1"/>
              </w:rPr>
              <w:t>t they were an extra liaison for pastoral and wellbeing support.</w:t>
            </w:r>
            <w:r w:rsidR="00E35489">
              <w:rPr>
                <w:rFonts w:ascii="Arial" w:eastAsia="Calibri" w:hAnsi="Arial" w:cs="Arial"/>
                <w:bCs/>
                <w:iCs/>
                <w:color w:val="000000" w:themeColor="text1"/>
              </w:rPr>
              <w:t xml:space="preserve"> These Heads can also </w:t>
            </w:r>
            <w:r w:rsidR="004D1A93">
              <w:rPr>
                <w:rFonts w:ascii="Arial" w:eastAsia="Calibri" w:hAnsi="Arial" w:cs="Arial"/>
                <w:bCs/>
                <w:iCs/>
                <w:color w:val="000000" w:themeColor="text1"/>
              </w:rPr>
              <w:t>advise students to keep</w:t>
            </w:r>
            <w:r w:rsidR="00B1746A">
              <w:rPr>
                <w:rFonts w:ascii="Arial" w:eastAsia="Calibri" w:hAnsi="Arial" w:cs="Arial"/>
                <w:bCs/>
                <w:iCs/>
                <w:color w:val="000000" w:themeColor="text1"/>
              </w:rPr>
              <w:t xml:space="preserve"> up</w:t>
            </w:r>
            <w:r w:rsidR="004D1A93">
              <w:rPr>
                <w:rFonts w:ascii="Arial" w:eastAsia="Calibri" w:hAnsi="Arial" w:cs="Arial"/>
                <w:bCs/>
                <w:iCs/>
                <w:color w:val="000000" w:themeColor="text1"/>
              </w:rPr>
              <w:t xml:space="preserve"> their skills on phantom heads </w:t>
            </w:r>
            <w:r w:rsidR="00620BCE">
              <w:rPr>
                <w:rFonts w:ascii="Arial" w:eastAsia="Calibri" w:hAnsi="Arial" w:cs="Arial"/>
                <w:bCs/>
                <w:iCs/>
                <w:color w:val="000000" w:themeColor="text1"/>
              </w:rPr>
              <w:t xml:space="preserve">on procedures </w:t>
            </w:r>
            <w:r w:rsidR="00494CDA">
              <w:rPr>
                <w:rFonts w:ascii="Arial" w:eastAsia="Calibri" w:hAnsi="Arial" w:cs="Arial"/>
                <w:bCs/>
                <w:iCs/>
                <w:color w:val="000000" w:themeColor="text1"/>
              </w:rPr>
              <w:t xml:space="preserve">where </w:t>
            </w:r>
            <w:r w:rsidR="00620BCE">
              <w:rPr>
                <w:rFonts w:ascii="Arial" w:eastAsia="Calibri" w:hAnsi="Arial" w:cs="Arial"/>
                <w:bCs/>
                <w:iCs/>
                <w:color w:val="000000" w:themeColor="text1"/>
              </w:rPr>
              <w:t>they have less</w:t>
            </w:r>
            <w:r w:rsidR="00927644">
              <w:rPr>
                <w:rFonts w:ascii="Arial" w:eastAsia="Calibri" w:hAnsi="Arial" w:cs="Arial"/>
                <w:bCs/>
                <w:iCs/>
                <w:color w:val="000000" w:themeColor="text1"/>
              </w:rPr>
              <w:t xml:space="preserve"> </w:t>
            </w:r>
            <w:proofErr w:type="gramStart"/>
            <w:r w:rsidR="00927644">
              <w:rPr>
                <w:rFonts w:ascii="Arial" w:eastAsia="Calibri" w:hAnsi="Arial" w:cs="Arial"/>
                <w:bCs/>
                <w:iCs/>
                <w:color w:val="000000" w:themeColor="text1"/>
              </w:rPr>
              <w:t>real life</w:t>
            </w:r>
            <w:proofErr w:type="gramEnd"/>
            <w:r w:rsidR="00620BCE">
              <w:rPr>
                <w:rFonts w:ascii="Arial" w:eastAsia="Calibri" w:hAnsi="Arial" w:cs="Arial"/>
                <w:bCs/>
                <w:iCs/>
                <w:color w:val="000000" w:themeColor="text1"/>
              </w:rPr>
              <w:t xml:space="preserve"> experience</w:t>
            </w:r>
            <w:r w:rsidR="006433E3">
              <w:rPr>
                <w:rFonts w:ascii="Arial" w:eastAsia="Calibri" w:hAnsi="Arial" w:cs="Arial"/>
                <w:bCs/>
                <w:iCs/>
                <w:color w:val="000000" w:themeColor="text1"/>
              </w:rPr>
              <w:t>, or procedures they have not performed for a while</w:t>
            </w:r>
            <w:r w:rsidR="00620BCE">
              <w:rPr>
                <w:rFonts w:ascii="Arial" w:eastAsia="Calibri" w:hAnsi="Arial" w:cs="Arial"/>
                <w:bCs/>
                <w:iCs/>
                <w:color w:val="000000" w:themeColor="text1"/>
              </w:rPr>
              <w:t>.</w:t>
            </w:r>
          </w:p>
          <w:p w14:paraId="4AFF6CD9" w14:textId="77777777" w:rsidR="006A727D" w:rsidRDefault="006A727D" w:rsidP="008C71F3">
            <w:pPr>
              <w:tabs>
                <w:tab w:val="left" w:pos="720"/>
                <w:tab w:val="left" w:pos="9214"/>
              </w:tabs>
              <w:ind w:right="34"/>
              <w:rPr>
                <w:rFonts w:ascii="Arial" w:eastAsia="Calibri" w:hAnsi="Arial" w:cs="Arial"/>
                <w:bCs/>
                <w:iCs/>
                <w:color w:val="000000" w:themeColor="text1"/>
              </w:rPr>
            </w:pPr>
          </w:p>
          <w:p w14:paraId="3EDAD5CC" w14:textId="1C2764A4" w:rsidR="006A727D" w:rsidRDefault="006A727D"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Outreach staff are given access to CAFS so they </w:t>
            </w:r>
            <w:r w:rsidR="00C3327C">
              <w:rPr>
                <w:rFonts w:ascii="Arial" w:eastAsia="Calibri" w:hAnsi="Arial" w:cs="Arial"/>
                <w:bCs/>
                <w:iCs/>
                <w:color w:val="000000" w:themeColor="text1"/>
              </w:rPr>
              <w:t>can</w:t>
            </w:r>
            <w:r>
              <w:rPr>
                <w:rFonts w:ascii="Arial" w:eastAsia="Calibri" w:hAnsi="Arial" w:cs="Arial"/>
                <w:bCs/>
                <w:iCs/>
                <w:color w:val="000000" w:themeColor="text1"/>
              </w:rPr>
              <w:t xml:space="preserve"> view student progression. Students are inducted into each outreach placement and during the </w:t>
            </w:r>
            <w:r w:rsidR="00500216">
              <w:rPr>
                <w:rFonts w:ascii="Arial" w:eastAsia="Calibri" w:hAnsi="Arial" w:cs="Arial"/>
                <w:bCs/>
                <w:iCs/>
                <w:color w:val="000000" w:themeColor="text1"/>
              </w:rPr>
              <w:t>induction</w:t>
            </w:r>
            <w:r w:rsidR="00B1746A">
              <w:rPr>
                <w:rFonts w:ascii="Arial" w:eastAsia="Calibri" w:hAnsi="Arial" w:cs="Arial"/>
                <w:bCs/>
                <w:iCs/>
                <w:color w:val="000000" w:themeColor="text1"/>
              </w:rPr>
              <w:t>,</w:t>
            </w:r>
            <w:r>
              <w:rPr>
                <w:rFonts w:ascii="Arial" w:eastAsia="Calibri" w:hAnsi="Arial" w:cs="Arial"/>
                <w:bCs/>
                <w:iCs/>
                <w:color w:val="000000" w:themeColor="text1"/>
              </w:rPr>
              <w:t xml:space="preserve"> time is devoted to </w:t>
            </w:r>
            <w:r w:rsidR="00DC2492">
              <w:rPr>
                <w:rFonts w:ascii="Arial" w:eastAsia="Calibri" w:hAnsi="Arial" w:cs="Arial"/>
                <w:bCs/>
                <w:iCs/>
                <w:color w:val="000000" w:themeColor="text1"/>
              </w:rPr>
              <w:t>allowing</w:t>
            </w:r>
            <w:r>
              <w:rPr>
                <w:rFonts w:ascii="Arial" w:eastAsia="Calibri" w:hAnsi="Arial" w:cs="Arial"/>
                <w:bCs/>
                <w:iCs/>
                <w:color w:val="000000" w:themeColor="text1"/>
              </w:rPr>
              <w:t xml:space="preserve"> the supervisors to assess each </w:t>
            </w:r>
            <w:proofErr w:type="gramStart"/>
            <w:r>
              <w:rPr>
                <w:rFonts w:ascii="Arial" w:eastAsia="Calibri" w:hAnsi="Arial" w:cs="Arial"/>
                <w:bCs/>
                <w:iCs/>
                <w:color w:val="000000" w:themeColor="text1"/>
              </w:rPr>
              <w:t>students</w:t>
            </w:r>
            <w:proofErr w:type="gramEnd"/>
            <w:r>
              <w:rPr>
                <w:rFonts w:ascii="Arial" w:eastAsia="Calibri" w:hAnsi="Arial" w:cs="Arial"/>
                <w:bCs/>
                <w:iCs/>
                <w:color w:val="000000" w:themeColor="text1"/>
              </w:rPr>
              <w:t xml:space="preserve"> </w:t>
            </w:r>
            <w:r w:rsidR="00500216">
              <w:rPr>
                <w:rFonts w:ascii="Arial" w:eastAsia="Calibri" w:hAnsi="Arial" w:cs="Arial"/>
                <w:bCs/>
                <w:iCs/>
                <w:color w:val="000000" w:themeColor="text1"/>
              </w:rPr>
              <w:t>CAFS data and discuss with the student their level of attainment, again allowing for a tailored supervision approach.</w:t>
            </w:r>
          </w:p>
          <w:p w14:paraId="2BC28A57" w14:textId="77777777" w:rsidR="00534F43" w:rsidRDefault="00534F43" w:rsidP="008C71F3">
            <w:pPr>
              <w:tabs>
                <w:tab w:val="left" w:pos="720"/>
                <w:tab w:val="left" w:pos="9214"/>
              </w:tabs>
              <w:ind w:right="34"/>
              <w:rPr>
                <w:rFonts w:ascii="Arial" w:eastAsia="Calibri" w:hAnsi="Arial" w:cs="Arial"/>
                <w:bCs/>
                <w:iCs/>
                <w:color w:val="000000" w:themeColor="text1"/>
              </w:rPr>
            </w:pPr>
          </w:p>
          <w:p w14:paraId="37CA3249" w14:textId="384FEB72" w:rsidR="00534F43" w:rsidRDefault="00534F43"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Students have opportunities to work with qualified and trainee nurses</w:t>
            </w:r>
            <w:r w:rsidR="00FC470B">
              <w:rPr>
                <w:rFonts w:ascii="Arial" w:eastAsia="Calibri" w:hAnsi="Arial" w:cs="Arial"/>
                <w:bCs/>
                <w:iCs/>
                <w:color w:val="000000" w:themeColor="text1"/>
              </w:rPr>
              <w:t xml:space="preserve"> facilitating their development in working within a dental team</w:t>
            </w:r>
            <w:r w:rsidR="00E41265">
              <w:rPr>
                <w:rFonts w:ascii="Arial" w:eastAsia="Calibri" w:hAnsi="Arial" w:cs="Arial"/>
                <w:bCs/>
                <w:iCs/>
                <w:color w:val="000000" w:themeColor="text1"/>
              </w:rPr>
              <w:t xml:space="preserve"> and preparing them for </w:t>
            </w:r>
            <w:r w:rsidR="00AE21EE">
              <w:rPr>
                <w:rFonts w:ascii="Arial" w:eastAsia="Calibri" w:hAnsi="Arial" w:cs="Arial"/>
                <w:bCs/>
                <w:iCs/>
                <w:color w:val="000000" w:themeColor="text1"/>
              </w:rPr>
              <w:t xml:space="preserve">registered </w:t>
            </w:r>
            <w:r w:rsidR="00A229F0">
              <w:rPr>
                <w:rFonts w:ascii="Arial" w:eastAsia="Calibri" w:hAnsi="Arial" w:cs="Arial"/>
                <w:bCs/>
                <w:iCs/>
                <w:color w:val="000000" w:themeColor="text1"/>
              </w:rPr>
              <w:t>practice</w:t>
            </w:r>
            <w:r w:rsidR="00AE21EE">
              <w:rPr>
                <w:rFonts w:ascii="Arial" w:eastAsia="Calibri" w:hAnsi="Arial" w:cs="Arial"/>
                <w:bCs/>
                <w:iCs/>
                <w:color w:val="000000" w:themeColor="text1"/>
              </w:rPr>
              <w:t>.</w:t>
            </w:r>
          </w:p>
          <w:p w14:paraId="6F702AA8" w14:textId="77777777" w:rsidR="00A229F0" w:rsidRDefault="00A229F0" w:rsidP="008C71F3">
            <w:pPr>
              <w:tabs>
                <w:tab w:val="left" w:pos="720"/>
                <w:tab w:val="left" w:pos="9214"/>
              </w:tabs>
              <w:ind w:right="34"/>
              <w:rPr>
                <w:rFonts w:ascii="Arial" w:eastAsia="Calibri" w:hAnsi="Arial" w:cs="Arial"/>
                <w:bCs/>
                <w:iCs/>
                <w:color w:val="000000" w:themeColor="text1"/>
              </w:rPr>
            </w:pPr>
          </w:p>
          <w:p w14:paraId="46E8E037" w14:textId="72965D84" w:rsidR="00A229F0" w:rsidRDefault="00A229F0"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w:t>
            </w:r>
            <w:r w:rsidR="00561AFB">
              <w:rPr>
                <w:rFonts w:ascii="Arial" w:eastAsia="Calibri" w:hAnsi="Arial" w:cs="Arial"/>
                <w:bCs/>
                <w:iCs/>
                <w:color w:val="000000" w:themeColor="text1"/>
              </w:rPr>
              <w:t>reported they have strong supervision and support on clinic when seeing patients and feel comfortable asking for assistance when required</w:t>
            </w:r>
            <w:r w:rsidR="00BD128D">
              <w:rPr>
                <w:rFonts w:ascii="Arial" w:eastAsia="Calibri" w:hAnsi="Arial" w:cs="Arial"/>
                <w:bCs/>
                <w:iCs/>
                <w:color w:val="000000" w:themeColor="text1"/>
              </w:rPr>
              <w:t xml:space="preserve">. </w:t>
            </w:r>
          </w:p>
          <w:p w14:paraId="02CA5D43" w14:textId="77777777" w:rsidR="007A45A8" w:rsidRDefault="007A45A8" w:rsidP="008C71F3">
            <w:pPr>
              <w:tabs>
                <w:tab w:val="left" w:pos="720"/>
                <w:tab w:val="left" w:pos="9214"/>
              </w:tabs>
              <w:ind w:right="34"/>
              <w:rPr>
                <w:rFonts w:ascii="Arial" w:eastAsia="Calibri" w:hAnsi="Arial" w:cs="Arial"/>
                <w:bCs/>
                <w:iCs/>
                <w:color w:val="000000" w:themeColor="text1"/>
              </w:rPr>
            </w:pPr>
          </w:p>
          <w:p w14:paraId="0B98BE27" w14:textId="733288D1" w:rsidR="007A45A8" w:rsidRPr="007A45A8" w:rsidRDefault="007A45A8" w:rsidP="007A45A8">
            <w:pPr>
              <w:tabs>
                <w:tab w:val="left" w:pos="720"/>
                <w:tab w:val="left" w:pos="9248"/>
              </w:tabs>
              <w:ind w:right="34"/>
              <w:rPr>
                <w:rFonts w:ascii="Arial" w:hAnsi="Arial" w:cs="Arial"/>
              </w:rPr>
            </w:pPr>
            <w:r>
              <w:rPr>
                <w:rFonts w:ascii="Arial" w:hAnsi="Arial" w:cs="Arial"/>
              </w:rPr>
              <w:t xml:space="preserve">The panel was assured by the information provided prior to the inspection and further by the information shared during the inspection that </w:t>
            </w:r>
            <w:r w:rsidR="007578FF">
              <w:rPr>
                <w:rFonts w:ascii="Arial" w:hAnsi="Arial" w:cs="Arial"/>
              </w:rPr>
              <w:t xml:space="preserve">patients are appropriately supervised and that </w:t>
            </w:r>
            <w:r>
              <w:rPr>
                <w:rFonts w:ascii="Arial" w:hAnsi="Arial" w:cs="Arial"/>
              </w:rPr>
              <w:t xml:space="preserve">this requirement is </w:t>
            </w:r>
            <w:r>
              <w:rPr>
                <w:rFonts w:ascii="Arial" w:hAnsi="Arial" w:cs="Arial"/>
                <w:b/>
                <w:bCs/>
              </w:rPr>
              <w:t>Met.</w:t>
            </w:r>
          </w:p>
          <w:p w14:paraId="0FA4AE6A" w14:textId="05853240" w:rsidR="00E2148E" w:rsidRPr="0084743E" w:rsidRDefault="00E2148E" w:rsidP="008C71F3">
            <w:pPr>
              <w:tabs>
                <w:tab w:val="left" w:pos="720"/>
                <w:tab w:val="left" w:pos="9214"/>
              </w:tabs>
              <w:ind w:right="34"/>
              <w:rPr>
                <w:rFonts w:ascii="Arial" w:eastAsia="Calibri" w:hAnsi="Arial" w:cs="Arial"/>
                <w:color w:val="000000" w:themeColor="text1"/>
              </w:rPr>
            </w:pPr>
          </w:p>
          <w:p w14:paraId="64EAAC62" w14:textId="1B4BF7D5" w:rsidR="00E2148E" w:rsidRPr="00CE1FEA" w:rsidRDefault="00E2148E" w:rsidP="008C71F3">
            <w:pPr>
              <w:tabs>
                <w:tab w:val="left" w:pos="720"/>
                <w:tab w:val="left" w:pos="9214"/>
              </w:tabs>
              <w:rPr>
                <w:rFonts w:ascii="Arial" w:eastAsia="Calibri" w:hAnsi="Arial" w:cs="Arial"/>
                <w:b/>
                <w:color w:val="7F7F7F" w:themeColor="text1" w:themeTint="80"/>
              </w:rPr>
            </w:pPr>
            <w:r w:rsidRPr="00CE1FEA">
              <w:rPr>
                <w:rFonts w:ascii="Arial" w:eastAsia="Calibri" w:hAnsi="Arial" w:cs="Arial"/>
                <w:b/>
                <w:color w:val="7F7F7F" w:themeColor="text1" w:themeTint="80"/>
              </w:rPr>
              <w:t xml:space="preserve">Requirement 5: Supervisors must be appropriately qualified and trained. This should include training in equality and diversity legislation relevant for the role. Clinical supervisors must have appropriate general or specialist registration with a UK regulatory body. </w:t>
            </w:r>
            <w:r w:rsidRPr="00CE1FEA">
              <w:rPr>
                <w:rFonts w:ascii="Arial" w:eastAsia="Calibri" w:hAnsi="Arial" w:cs="Arial"/>
                <w:b/>
                <w:i/>
                <w:color w:val="7F7F7F" w:themeColor="text1" w:themeTint="80"/>
              </w:rPr>
              <w:t xml:space="preserve">(Requirement </w:t>
            </w:r>
            <w:r w:rsidR="00527931" w:rsidRPr="00CE1FEA">
              <w:rPr>
                <w:rFonts w:ascii="Arial" w:eastAsia="Calibri" w:hAnsi="Arial" w:cs="Arial"/>
                <w:b/>
                <w:i/>
                <w:color w:val="7F7F7F" w:themeColor="text1" w:themeTint="80"/>
              </w:rPr>
              <w:t>Met</w:t>
            </w:r>
            <w:r w:rsidRPr="00CE1FEA">
              <w:rPr>
                <w:rFonts w:ascii="Arial" w:eastAsia="Calibri" w:hAnsi="Arial" w:cs="Arial"/>
                <w:b/>
                <w:i/>
                <w:color w:val="7F7F7F" w:themeColor="text1" w:themeTint="80"/>
              </w:rPr>
              <w:t>)</w:t>
            </w:r>
          </w:p>
          <w:p w14:paraId="19E4280F" w14:textId="43ACB3F6" w:rsidR="00E2148E" w:rsidRPr="00CE1FEA" w:rsidRDefault="00E2148E" w:rsidP="008C71F3">
            <w:pPr>
              <w:tabs>
                <w:tab w:val="left" w:pos="720"/>
                <w:tab w:val="left" w:pos="9214"/>
                <w:tab w:val="left" w:pos="9248"/>
              </w:tabs>
              <w:ind w:right="34"/>
              <w:jc w:val="both"/>
              <w:rPr>
                <w:rFonts w:ascii="Arial" w:eastAsia="Calibri" w:hAnsi="Arial" w:cs="Arial"/>
                <w:color w:val="7F7F7F" w:themeColor="text1" w:themeTint="80"/>
              </w:rPr>
            </w:pPr>
          </w:p>
          <w:p w14:paraId="49435915" w14:textId="314ACB9C" w:rsidR="00E2148E" w:rsidRPr="00CE1FEA" w:rsidRDefault="00E2148E" w:rsidP="008C71F3">
            <w:pPr>
              <w:tabs>
                <w:tab w:val="left" w:pos="720"/>
                <w:tab w:val="left" w:pos="9214"/>
              </w:tabs>
              <w:ind w:right="34"/>
              <w:rPr>
                <w:rFonts w:ascii="Arial" w:eastAsia="Calibri" w:hAnsi="Arial" w:cs="Arial"/>
                <w:b/>
                <w:color w:val="7F7F7F" w:themeColor="text1" w:themeTint="80"/>
              </w:rPr>
            </w:pPr>
            <w:r w:rsidRPr="00CE1FEA">
              <w:rPr>
                <w:rFonts w:ascii="Arial" w:eastAsia="Calibri" w:hAnsi="Arial" w:cs="Arial"/>
                <w:b/>
                <w:color w:val="7F7F7F" w:themeColor="text1" w:themeTint="80"/>
              </w:rPr>
              <w:t xml:space="preserve">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t>
            </w:r>
            <w:r w:rsidRPr="00CE1FEA">
              <w:rPr>
                <w:rFonts w:ascii="Arial" w:eastAsia="Calibri" w:hAnsi="Arial" w:cs="Arial"/>
                <w:b/>
                <w:color w:val="7F7F7F" w:themeColor="text1" w:themeTint="80"/>
              </w:rPr>
              <w:lastRenderedPageBreak/>
              <w:t xml:space="preserve">who do raise concerns and provide assurance that staff and students will not be penalised for doing so. </w:t>
            </w:r>
            <w:r w:rsidRPr="00CE1FEA">
              <w:rPr>
                <w:rFonts w:ascii="Arial" w:eastAsia="Calibri" w:hAnsi="Arial" w:cs="Arial"/>
                <w:b/>
                <w:i/>
                <w:color w:val="7F7F7F" w:themeColor="text1" w:themeTint="80"/>
              </w:rPr>
              <w:t xml:space="preserve">(Requirement </w:t>
            </w:r>
            <w:r w:rsidR="00527931" w:rsidRPr="00CE1FEA">
              <w:rPr>
                <w:rFonts w:ascii="Arial" w:eastAsia="Calibri" w:hAnsi="Arial" w:cs="Arial"/>
                <w:b/>
                <w:i/>
                <w:color w:val="7F7F7F" w:themeColor="text1" w:themeTint="80"/>
              </w:rPr>
              <w:t>Met</w:t>
            </w:r>
            <w:r w:rsidRPr="00CE1FEA">
              <w:rPr>
                <w:rFonts w:ascii="Arial" w:eastAsia="Calibri" w:hAnsi="Arial" w:cs="Arial"/>
                <w:b/>
                <w:i/>
                <w:color w:val="7F7F7F" w:themeColor="text1" w:themeTint="80"/>
              </w:rPr>
              <w:t>)</w:t>
            </w:r>
          </w:p>
          <w:p w14:paraId="37BD5C7C" w14:textId="18CD3725" w:rsidR="00E2148E" w:rsidRPr="0084743E" w:rsidRDefault="00E2148E" w:rsidP="008C71F3">
            <w:pPr>
              <w:tabs>
                <w:tab w:val="left" w:pos="720"/>
                <w:tab w:val="left" w:pos="9214"/>
              </w:tabs>
              <w:ind w:right="2789"/>
              <w:rPr>
                <w:rFonts w:ascii="Arial" w:eastAsia="Calibri" w:hAnsi="Arial" w:cs="Arial"/>
                <w:color w:val="000000" w:themeColor="text1"/>
              </w:rPr>
            </w:pPr>
          </w:p>
          <w:p w14:paraId="55CEB964" w14:textId="757917A9" w:rsidR="00E2148E" w:rsidRDefault="00E2148E" w:rsidP="008C71F3">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7: Systems must be in place to identify and record issues that may affect patient safety. Should a patient safety issue arise, appropriate action must be taken by the provider and where necessary the relevant regulatory body should be notified. </w:t>
            </w:r>
            <w:r w:rsidRPr="00733160">
              <w:rPr>
                <w:rFonts w:ascii="Arial" w:eastAsia="Calibri" w:hAnsi="Arial" w:cs="Arial"/>
                <w:b/>
                <w:i/>
                <w:color w:val="000000" w:themeColor="text1"/>
              </w:rPr>
              <w:t xml:space="preserve">(Requirement </w:t>
            </w:r>
            <w:r w:rsidR="00527931" w:rsidRPr="00733160">
              <w:rPr>
                <w:rFonts w:ascii="Arial" w:eastAsia="Calibri" w:hAnsi="Arial" w:cs="Arial"/>
                <w:b/>
                <w:i/>
                <w:color w:val="000000" w:themeColor="text1"/>
              </w:rPr>
              <w:t>Met</w:t>
            </w:r>
            <w:r w:rsidRPr="00733160">
              <w:rPr>
                <w:rFonts w:ascii="Arial" w:eastAsia="Calibri" w:hAnsi="Arial" w:cs="Arial"/>
                <w:b/>
                <w:i/>
                <w:color w:val="000000" w:themeColor="text1"/>
              </w:rPr>
              <w:t>)</w:t>
            </w:r>
          </w:p>
          <w:p w14:paraId="2C8F69F2" w14:textId="77777777" w:rsidR="005F0CA0" w:rsidRDefault="005F0CA0" w:rsidP="008C71F3">
            <w:pPr>
              <w:tabs>
                <w:tab w:val="left" w:pos="720"/>
                <w:tab w:val="left" w:pos="9214"/>
              </w:tabs>
              <w:ind w:right="34"/>
              <w:rPr>
                <w:rFonts w:ascii="Arial" w:eastAsia="Calibri" w:hAnsi="Arial" w:cs="Arial"/>
                <w:b/>
                <w:iCs/>
                <w:color w:val="000000" w:themeColor="text1"/>
              </w:rPr>
            </w:pPr>
          </w:p>
          <w:p w14:paraId="4AB7164F" w14:textId="77777777" w:rsidR="00CE0DA2" w:rsidRDefault="008669B5" w:rsidP="008C71F3">
            <w:pPr>
              <w:tabs>
                <w:tab w:val="left" w:pos="720"/>
                <w:tab w:val="left" w:pos="9214"/>
              </w:tabs>
              <w:ind w:right="34"/>
              <w:rPr>
                <w:rFonts w:ascii="Arial" w:eastAsia="Calibri" w:hAnsi="Arial" w:cs="Arial"/>
                <w:bCs/>
                <w:iCs/>
                <w:color w:val="000000" w:themeColor="text1"/>
              </w:rPr>
            </w:pPr>
            <w:r w:rsidRPr="00937FD0">
              <w:rPr>
                <w:rFonts w:ascii="Arial" w:eastAsia="Calibri" w:hAnsi="Arial" w:cs="Arial"/>
                <w:bCs/>
                <w:iCs/>
                <w:color w:val="000000" w:themeColor="text1"/>
              </w:rPr>
              <w:t>The</w:t>
            </w:r>
            <w:r w:rsidR="005F0CA0" w:rsidRPr="00937FD0">
              <w:rPr>
                <w:rFonts w:ascii="Arial" w:eastAsia="Calibri" w:hAnsi="Arial" w:cs="Arial"/>
                <w:bCs/>
                <w:iCs/>
                <w:color w:val="000000" w:themeColor="text1"/>
              </w:rPr>
              <w:t xml:space="preserve"> </w:t>
            </w:r>
            <w:proofErr w:type="gramStart"/>
            <w:r w:rsidRPr="00937FD0">
              <w:rPr>
                <w:rFonts w:ascii="Arial" w:eastAsia="Calibri" w:hAnsi="Arial" w:cs="Arial"/>
                <w:bCs/>
                <w:iCs/>
                <w:color w:val="000000" w:themeColor="text1"/>
              </w:rPr>
              <w:t>School</w:t>
            </w:r>
            <w:proofErr w:type="gramEnd"/>
            <w:r w:rsidRPr="00937FD0">
              <w:rPr>
                <w:rFonts w:ascii="Arial" w:eastAsia="Calibri" w:hAnsi="Arial" w:cs="Arial"/>
                <w:bCs/>
                <w:iCs/>
                <w:color w:val="000000" w:themeColor="text1"/>
              </w:rPr>
              <w:t xml:space="preserve"> has robust systems in place to record patient safety issues using CAFS and DATIX</w:t>
            </w:r>
            <w:r w:rsidR="00993DE9">
              <w:rPr>
                <w:rFonts w:ascii="Arial" w:eastAsia="Calibri" w:hAnsi="Arial" w:cs="Arial"/>
                <w:bCs/>
                <w:iCs/>
                <w:color w:val="000000" w:themeColor="text1"/>
              </w:rPr>
              <w:t xml:space="preserve">, and </w:t>
            </w:r>
            <w:r w:rsidR="003D2936">
              <w:rPr>
                <w:rFonts w:ascii="Arial" w:eastAsia="Calibri" w:hAnsi="Arial" w:cs="Arial"/>
                <w:bCs/>
                <w:iCs/>
                <w:color w:val="000000" w:themeColor="text1"/>
              </w:rPr>
              <w:t xml:space="preserve">then </w:t>
            </w:r>
            <w:r w:rsidR="00157AA3">
              <w:rPr>
                <w:rFonts w:ascii="Arial" w:eastAsia="Calibri" w:hAnsi="Arial" w:cs="Arial"/>
                <w:bCs/>
                <w:iCs/>
                <w:color w:val="000000" w:themeColor="text1"/>
              </w:rPr>
              <w:t>clear instruction on what actions must be taken</w:t>
            </w:r>
            <w:r w:rsidR="00123852" w:rsidRPr="00937FD0">
              <w:rPr>
                <w:rFonts w:ascii="Arial" w:eastAsia="Calibri" w:hAnsi="Arial" w:cs="Arial"/>
                <w:bCs/>
                <w:iCs/>
                <w:color w:val="000000" w:themeColor="text1"/>
              </w:rPr>
              <w:t>.</w:t>
            </w:r>
            <w:r w:rsidR="009E2A5B">
              <w:rPr>
                <w:rFonts w:ascii="Arial" w:eastAsia="Calibri" w:hAnsi="Arial" w:cs="Arial"/>
                <w:bCs/>
                <w:iCs/>
                <w:color w:val="000000" w:themeColor="text1"/>
              </w:rPr>
              <w:t xml:space="preserve"> Students are encouraged to ensure they log any patient safety issues</w:t>
            </w:r>
            <w:r w:rsidR="00782886">
              <w:rPr>
                <w:rFonts w:ascii="Arial" w:eastAsia="Calibri" w:hAnsi="Arial" w:cs="Arial"/>
                <w:bCs/>
                <w:iCs/>
                <w:color w:val="000000" w:themeColor="text1"/>
              </w:rPr>
              <w:t>, and that they can be viewed as learning events</w:t>
            </w:r>
            <w:r w:rsidR="00224EB0">
              <w:rPr>
                <w:rFonts w:ascii="Arial" w:eastAsia="Calibri" w:hAnsi="Arial" w:cs="Arial"/>
                <w:bCs/>
                <w:iCs/>
                <w:color w:val="000000" w:themeColor="text1"/>
              </w:rPr>
              <w:t>.</w:t>
            </w:r>
            <w:r w:rsidR="00332AB1" w:rsidRPr="00937FD0">
              <w:rPr>
                <w:rFonts w:ascii="Arial" w:eastAsia="Calibri" w:hAnsi="Arial" w:cs="Arial"/>
                <w:bCs/>
                <w:iCs/>
                <w:color w:val="000000" w:themeColor="text1"/>
              </w:rPr>
              <w:t xml:space="preserve"> </w:t>
            </w:r>
          </w:p>
          <w:p w14:paraId="5B1842BC" w14:textId="77777777" w:rsidR="00CE0DA2" w:rsidRDefault="00CE0DA2" w:rsidP="008C71F3">
            <w:pPr>
              <w:tabs>
                <w:tab w:val="left" w:pos="720"/>
                <w:tab w:val="left" w:pos="9214"/>
              </w:tabs>
              <w:ind w:right="34"/>
              <w:rPr>
                <w:rFonts w:ascii="Arial" w:eastAsia="Calibri" w:hAnsi="Arial" w:cs="Arial"/>
                <w:bCs/>
                <w:iCs/>
                <w:color w:val="000000" w:themeColor="text1"/>
              </w:rPr>
            </w:pPr>
          </w:p>
          <w:p w14:paraId="6A628F8C" w14:textId="1CBBEA20" w:rsidR="008669B5" w:rsidRPr="00937FD0" w:rsidRDefault="00332AB1" w:rsidP="008C71F3">
            <w:pPr>
              <w:tabs>
                <w:tab w:val="left" w:pos="720"/>
                <w:tab w:val="left" w:pos="9214"/>
              </w:tabs>
              <w:ind w:right="34"/>
              <w:rPr>
                <w:rFonts w:ascii="Arial" w:eastAsia="Calibri" w:hAnsi="Arial" w:cs="Arial"/>
                <w:bCs/>
                <w:iCs/>
                <w:color w:val="000000" w:themeColor="text1"/>
              </w:rPr>
            </w:pPr>
            <w:r w:rsidRPr="00937FD0">
              <w:rPr>
                <w:rFonts w:ascii="Arial" w:eastAsia="Calibri" w:hAnsi="Arial" w:cs="Arial"/>
                <w:bCs/>
                <w:iCs/>
                <w:color w:val="000000" w:themeColor="text1"/>
              </w:rPr>
              <w:t>Incidents are logged in</w:t>
            </w:r>
            <w:r w:rsidR="004058BB">
              <w:rPr>
                <w:rFonts w:ascii="Arial" w:eastAsia="Calibri" w:hAnsi="Arial" w:cs="Arial"/>
                <w:bCs/>
                <w:iCs/>
                <w:color w:val="000000" w:themeColor="text1"/>
              </w:rPr>
              <w:t xml:space="preserve"> both CAFS and</w:t>
            </w:r>
            <w:r w:rsidRPr="00937FD0">
              <w:rPr>
                <w:rFonts w:ascii="Arial" w:eastAsia="Calibri" w:hAnsi="Arial" w:cs="Arial"/>
                <w:bCs/>
                <w:iCs/>
                <w:color w:val="000000" w:themeColor="text1"/>
              </w:rPr>
              <w:t xml:space="preserve"> DATIX</w:t>
            </w:r>
            <w:r w:rsidR="00EC73FE">
              <w:rPr>
                <w:rFonts w:ascii="Arial" w:eastAsia="Calibri" w:hAnsi="Arial" w:cs="Arial"/>
                <w:bCs/>
                <w:iCs/>
                <w:color w:val="000000" w:themeColor="text1"/>
              </w:rPr>
              <w:t>,</w:t>
            </w:r>
            <w:r w:rsidR="00AC4B54" w:rsidRPr="00937FD0">
              <w:rPr>
                <w:rFonts w:ascii="Arial" w:eastAsia="Calibri" w:hAnsi="Arial" w:cs="Arial"/>
                <w:bCs/>
                <w:iCs/>
                <w:color w:val="000000" w:themeColor="text1"/>
              </w:rPr>
              <w:t xml:space="preserve"> this </w:t>
            </w:r>
            <w:r w:rsidR="00EC73FE">
              <w:rPr>
                <w:rFonts w:ascii="Arial" w:eastAsia="Calibri" w:hAnsi="Arial" w:cs="Arial"/>
                <w:bCs/>
                <w:iCs/>
                <w:color w:val="000000" w:themeColor="text1"/>
              </w:rPr>
              <w:t xml:space="preserve">is then automatically </w:t>
            </w:r>
            <w:r w:rsidR="002A3B75">
              <w:rPr>
                <w:rFonts w:ascii="Arial" w:eastAsia="Calibri" w:hAnsi="Arial" w:cs="Arial"/>
                <w:bCs/>
                <w:iCs/>
                <w:color w:val="000000" w:themeColor="text1"/>
              </w:rPr>
              <w:t xml:space="preserve">fed to the </w:t>
            </w:r>
            <w:r w:rsidR="00AC4B54" w:rsidRPr="00937FD0">
              <w:rPr>
                <w:rFonts w:ascii="Arial" w:eastAsia="Calibri" w:hAnsi="Arial" w:cs="Arial"/>
                <w:bCs/>
                <w:iCs/>
                <w:color w:val="000000" w:themeColor="text1"/>
              </w:rPr>
              <w:t xml:space="preserve">clinical service leads. There is then a </w:t>
            </w:r>
            <w:r w:rsidR="0085660F" w:rsidRPr="00937FD0">
              <w:rPr>
                <w:rFonts w:ascii="Arial" w:eastAsia="Calibri" w:hAnsi="Arial" w:cs="Arial"/>
                <w:bCs/>
                <w:iCs/>
                <w:color w:val="000000" w:themeColor="text1"/>
              </w:rPr>
              <w:t>strict</w:t>
            </w:r>
            <w:r w:rsidR="00AC4B54" w:rsidRPr="00937FD0">
              <w:rPr>
                <w:rFonts w:ascii="Arial" w:eastAsia="Calibri" w:hAnsi="Arial" w:cs="Arial"/>
                <w:bCs/>
                <w:iCs/>
                <w:color w:val="000000" w:themeColor="text1"/>
              </w:rPr>
              <w:t xml:space="preserve"> </w:t>
            </w:r>
            <w:r w:rsidR="0085660F" w:rsidRPr="00937FD0">
              <w:rPr>
                <w:rFonts w:ascii="Arial" w:eastAsia="Calibri" w:hAnsi="Arial" w:cs="Arial"/>
                <w:bCs/>
                <w:iCs/>
                <w:color w:val="000000" w:themeColor="text1"/>
              </w:rPr>
              <w:t>timeline</w:t>
            </w:r>
            <w:r w:rsidR="00AC4B54" w:rsidRPr="00937FD0">
              <w:rPr>
                <w:rFonts w:ascii="Arial" w:eastAsia="Calibri" w:hAnsi="Arial" w:cs="Arial"/>
                <w:bCs/>
                <w:iCs/>
                <w:color w:val="000000" w:themeColor="text1"/>
              </w:rPr>
              <w:t xml:space="preserve"> to </w:t>
            </w:r>
            <w:r w:rsidR="0085660F" w:rsidRPr="00937FD0">
              <w:rPr>
                <w:rFonts w:ascii="Arial" w:eastAsia="Calibri" w:hAnsi="Arial" w:cs="Arial"/>
                <w:bCs/>
                <w:iCs/>
                <w:color w:val="000000" w:themeColor="text1"/>
              </w:rPr>
              <w:t>keep</w:t>
            </w:r>
            <w:r w:rsidR="00AC4B54" w:rsidRPr="00937FD0">
              <w:rPr>
                <w:rFonts w:ascii="Arial" w:eastAsia="Calibri" w:hAnsi="Arial" w:cs="Arial"/>
                <w:bCs/>
                <w:iCs/>
                <w:color w:val="000000" w:themeColor="text1"/>
              </w:rPr>
              <w:t xml:space="preserve"> to </w:t>
            </w:r>
            <w:r w:rsidR="00DF3D0C" w:rsidRPr="00937FD0">
              <w:rPr>
                <w:rFonts w:ascii="Arial" w:eastAsia="Calibri" w:hAnsi="Arial" w:cs="Arial"/>
                <w:bCs/>
                <w:iCs/>
                <w:color w:val="000000" w:themeColor="text1"/>
              </w:rPr>
              <w:t>from the Trust</w:t>
            </w:r>
            <w:r w:rsidR="003C3BE3" w:rsidRPr="00937FD0">
              <w:rPr>
                <w:rFonts w:ascii="Arial" w:eastAsia="Calibri" w:hAnsi="Arial" w:cs="Arial"/>
                <w:bCs/>
                <w:iCs/>
                <w:color w:val="000000" w:themeColor="text1"/>
              </w:rPr>
              <w:t xml:space="preserve">s </w:t>
            </w:r>
            <w:r w:rsidR="00641B11" w:rsidRPr="00937FD0">
              <w:rPr>
                <w:rFonts w:ascii="Arial" w:eastAsia="Calibri" w:hAnsi="Arial" w:cs="Arial"/>
                <w:bCs/>
                <w:iCs/>
                <w:color w:val="000000" w:themeColor="text1"/>
              </w:rPr>
              <w:t>“</w:t>
            </w:r>
            <w:r w:rsidR="003C3BE3" w:rsidRPr="00937FD0">
              <w:rPr>
                <w:rFonts w:ascii="Arial" w:eastAsia="Calibri" w:hAnsi="Arial" w:cs="Arial"/>
                <w:bCs/>
                <w:iCs/>
                <w:color w:val="000000" w:themeColor="text1"/>
              </w:rPr>
              <w:t xml:space="preserve">Patient </w:t>
            </w:r>
            <w:r w:rsidR="003B588A">
              <w:rPr>
                <w:rFonts w:ascii="Arial" w:eastAsia="Calibri" w:hAnsi="Arial" w:cs="Arial"/>
                <w:bCs/>
                <w:iCs/>
                <w:color w:val="000000" w:themeColor="text1"/>
              </w:rPr>
              <w:t>S</w:t>
            </w:r>
            <w:r w:rsidR="003C3BE3" w:rsidRPr="00937FD0">
              <w:rPr>
                <w:rFonts w:ascii="Arial" w:eastAsia="Calibri" w:hAnsi="Arial" w:cs="Arial"/>
                <w:bCs/>
                <w:iCs/>
                <w:color w:val="000000" w:themeColor="text1"/>
              </w:rPr>
              <w:t xml:space="preserve">afety </w:t>
            </w:r>
            <w:r w:rsidR="003B588A">
              <w:rPr>
                <w:rFonts w:ascii="Arial" w:eastAsia="Calibri" w:hAnsi="Arial" w:cs="Arial"/>
                <w:bCs/>
                <w:iCs/>
                <w:color w:val="000000" w:themeColor="text1"/>
              </w:rPr>
              <w:t>I</w:t>
            </w:r>
            <w:r w:rsidR="003C3BE3" w:rsidRPr="00937FD0">
              <w:rPr>
                <w:rFonts w:ascii="Arial" w:eastAsia="Calibri" w:hAnsi="Arial" w:cs="Arial"/>
                <w:bCs/>
                <w:iCs/>
                <w:color w:val="000000" w:themeColor="text1"/>
              </w:rPr>
              <w:t xml:space="preserve">ncident </w:t>
            </w:r>
            <w:r w:rsidR="003B588A">
              <w:rPr>
                <w:rFonts w:ascii="Arial" w:eastAsia="Calibri" w:hAnsi="Arial" w:cs="Arial"/>
                <w:bCs/>
                <w:iCs/>
                <w:color w:val="000000" w:themeColor="text1"/>
              </w:rPr>
              <w:t>R</w:t>
            </w:r>
            <w:r w:rsidR="003C3BE3" w:rsidRPr="00937FD0">
              <w:rPr>
                <w:rFonts w:ascii="Arial" w:eastAsia="Calibri" w:hAnsi="Arial" w:cs="Arial"/>
                <w:bCs/>
                <w:iCs/>
                <w:color w:val="000000" w:themeColor="text1"/>
              </w:rPr>
              <w:t xml:space="preserve">eporting </w:t>
            </w:r>
            <w:r w:rsidR="003B588A">
              <w:rPr>
                <w:rFonts w:ascii="Arial" w:eastAsia="Calibri" w:hAnsi="Arial" w:cs="Arial"/>
                <w:bCs/>
                <w:iCs/>
                <w:color w:val="000000" w:themeColor="text1"/>
              </w:rPr>
              <w:t>F</w:t>
            </w:r>
            <w:r w:rsidR="003C3BE3" w:rsidRPr="00937FD0">
              <w:rPr>
                <w:rFonts w:ascii="Arial" w:eastAsia="Calibri" w:hAnsi="Arial" w:cs="Arial"/>
                <w:bCs/>
                <w:iCs/>
                <w:color w:val="000000" w:themeColor="text1"/>
              </w:rPr>
              <w:t>ramework</w:t>
            </w:r>
            <w:r w:rsidR="00641B11" w:rsidRPr="00937FD0">
              <w:rPr>
                <w:rFonts w:ascii="Arial" w:eastAsia="Calibri" w:hAnsi="Arial" w:cs="Arial"/>
                <w:bCs/>
                <w:iCs/>
                <w:color w:val="000000" w:themeColor="text1"/>
              </w:rPr>
              <w:t>”</w:t>
            </w:r>
            <w:r w:rsidR="003C3BE3" w:rsidRPr="00937FD0">
              <w:rPr>
                <w:rFonts w:ascii="Arial" w:eastAsia="Calibri" w:hAnsi="Arial" w:cs="Arial"/>
                <w:bCs/>
                <w:iCs/>
                <w:color w:val="000000" w:themeColor="text1"/>
              </w:rPr>
              <w:t xml:space="preserve"> </w:t>
            </w:r>
            <w:r w:rsidR="00641B11" w:rsidRPr="00937FD0">
              <w:rPr>
                <w:rFonts w:ascii="Arial" w:eastAsia="Calibri" w:hAnsi="Arial" w:cs="Arial"/>
                <w:bCs/>
                <w:iCs/>
                <w:color w:val="000000" w:themeColor="text1"/>
              </w:rPr>
              <w:t>(</w:t>
            </w:r>
            <w:r w:rsidR="003C3BE3" w:rsidRPr="00937FD0">
              <w:rPr>
                <w:rFonts w:ascii="Arial" w:eastAsia="Calibri" w:hAnsi="Arial" w:cs="Arial"/>
                <w:bCs/>
                <w:iCs/>
                <w:color w:val="000000" w:themeColor="text1"/>
              </w:rPr>
              <w:t>PSIRF</w:t>
            </w:r>
            <w:r w:rsidR="00641B11" w:rsidRPr="00937FD0">
              <w:rPr>
                <w:rFonts w:ascii="Arial" w:eastAsia="Calibri" w:hAnsi="Arial" w:cs="Arial"/>
                <w:bCs/>
                <w:iCs/>
                <w:color w:val="000000" w:themeColor="text1"/>
              </w:rPr>
              <w:t>)</w:t>
            </w:r>
            <w:r w:rsidR="003C3BE3" w:rsidRPr="00937FD0">
              <w:rPr>
                <w:rFonts w:ascii="Arial" w:eastAsia="Calibri" w:hAnsi="Arial" w:cs="Arial"/>
                <w:bCs/>
                <w:iCs/>
                <w:color w:val="000000" w:themeColor="text1"/>
              </w:rPr>
              <w:t>.</w:t>
            </w:r>
            <w:r w:rsidR="0018553B">
              <w:rPr>
                <w:rFonts w:ascii="Arial" w:eastAsia="Calibri" w:hAnsi="Arial" w:cs="Arial"/>
                <w:bCs/>
                <w:iCs/>
                <w:color w:val="000000" w:themeColor="text1"/>
              </w:rPr>
              <w:t xml:space="preserve"> </w:t>
            </w:r>
            <w:r w:rsidR="001B2332">
              <w:rPr>
                <w:rFonts w:ascii="Arial" w:eastAsia="Calibri" w:hAnsi="Arial" w:cs="Arial"/>
                <w:bCs/>
                <w:iCs/>
                <w:color w:val="000000" w:themeColor="text1"/>
              </w:rPr>
              <w:t>The patient is followed up closely</w:t>
            </w:r>
            <w:r w:rsidR="00D50FFB">
              <w:rPr>
                <w:rFonts w:ascii="Arial" w:eastAsia="Calibri" w:hAnsi="Arial" w:cs="Arial"/>
                <w:bCs/>
                <w:iCs/>
                <w:color w:val="000000" w:themeColor="text1"/>
              </w:rPr>
              <w:t xml:space="preserve"> and staff ensure treatment is complete before they leave the clinic. </w:t>
            </w:r>
            <w:r w:rsidR="00CC4B10">
              <w:rPr>
                <w:rFonts w:ascii="Arial" w:eastAsia="Calibri" w:hAnsi="Arial" w:cs="Arial"/>
                <w:bCs/>
                <w:iCs/>
                <w:color w:val="000000" w:themeColor="text1"/>
              </w:rPr>
              <w:t>Learning from incidents is fed through huddles on clinics</w:t>
            </w:r>
            <w:r w:rsidR="008F5215">
              <w:rPr>
                <w:rFonts w:ascii="Arial" w:eastAsia="Calibri" w:hAnsi="Arial" w:cs="Arial"/>
                <w:bCs/>
                <w:iCs/>
                <w:color w:val="000000" w:themeColor="text1"/>
              </w:rPr>
              <w:t xml:space="preserve"> </w:t>
            </w:r>
            <w:r w:rsidR="00A342B9">
              <w:rPr>
                <w:rFonts w:ascii="Arial" w:eastAsia="Calibri" w:hAnsi="Arial" w:cs="Arial"/>
                <w:bCs/>
                <w:iCs/>
                <w:color w:val="000000" w:themeColor="text1"/>
              </w:rPr>
              <w:t>and disseminated through weekly update emails</w:t>
            </w:r>
            <w:r w:rsidR="00B0222A">
              <w:rPr>
                <w:rFonts w:ascii="Arial" w:eastAsia="Calibri" w:hAnsi="Arial" w:cs="Arial"/>
                <w:bCs/>
                <w:iCs/>
                <w:color w:val="000000" w:themeColor="text1"/>
              </w:rPr>
              <w:t xml:space="preserve"> to all clinical staff</w:t>
            </w:r>
            <w:r w:rsidR="00A342B9">
              <w:rPr>
                <w:rFonts w:ascii="Arial" w:eastAsia="Calibri" w:hAnsi="Arial" w:cs="Arial"/>
                <w:bCs/>
                <w:iCs/>
                <w:color w:val="000000" w:themeColor="text1"/>
              </w:rPr>
              <w:t xml:space="preserve">. </w:t>
            </w:r>
            <w:r w:rsidR="0078346F">
              <w:rPr>
                <w:rFonts w:ascii="Arial" w:eastAsia="Calibri" w:hAnsi="Arial" w:cs="Arial"/>
                <w:bCs/>
                <w:iCs/>
                <w:color w:val="000000" w:themeColor="text1"/>
              </w:rPr>
              <w:t xml:space="preserve">The </w:t>
            </w:r>
            <w:proofErr w:type="gramStart"/>
            <w:r w:rsidR="0078346F">
              <w:rPr>
                <w:rFonts w:ascii="Arial" w:eastAsia="Calibri" w:hAnsi="Arial" w:cs="Arial"/>
                <w:bCs/>
                <w:iCs/>
                <w:color w:val="000000" w:themeColor="text1"/>
              </w:rPr>
              <w:t>School</w:t>
            </w:r>
            <w:proofErr w:type="gramEnd"/>
            <w:r w:rsidR="0078346F">
              <w:rPr>
                <w:rFonts w:ascii="Arial" w:eastAsia="Calibri" w:hAnsi="Arial" w:cs="Arial"/>
                <w:bCs/>
                <w:iCs/>
                <w:color w:val="000000" w:themeColor="text1"/>
              </w:rPr>
              <w:t xml:space="preserve"> then reviews </w:t>
            </w:r>
            <w:r w:rsidR="006725DA">
              <w:rPr>
                <w:rFonts w:ascii="Arial" w:eastAsia="Calibri" w:hAnsi="Arial" w:cs="Arial"/>
                <w:bCs/>
                <w:iCs/>
                <w:color w:val="000000" w:themeColor="text1"/>
              </w:rPr>
              <w:t>incidents</w:t>
            </w:r>
            <w:r w:rsidR="0078346F">
              <w:rPr>
                <w:rFonts w:ascii="Arial" w:eastAsia="Calibri" w:hAnsi="Arial" w:cs="Arial"/>
                <w:bCs/>
                <w:iCs/>
                <w:color w:val="000000" w:themeColor="text1"/>
              </w:rPr>
              <w:t xml:space="preserve"> annually to </w:t>
            </w:r>
            <w:r w:rsidR="00A24EB8">
              <w:rPr>
                <w:rFonts w:ascii="Arial" w:eastAsia="Calibri" w:hAnsi="Arial" w:cs="Arial"/>
                <w:bCs/>
                <w:iCs/>
                <w:color w:val="000000" w:themeColor="text1"/>
              </w:rPr>
              <w:t>identify trends or themes</w:t>
            </w:r>
            <w:r w:rsidR="006725DA">
              <w:rPr>
                <w:rFonts w:ascii="Arial" w:eastAsia="Calibri" w:hAnsi="Arial" w:cs="Arial"/>
                <w:bCs/>
                <w:iCs/>
                <w:color w:val="000000" w:themeColor="text1"/>
              </w:rPr>
              <w:t>, which can then be acted upon.</w:t>
            </w:r>
            <w:r w:rsidR="00CC4B10">
              <w:rPr>
                <w:rFonts w:ascii="Arial" w:eastAsia="Calibri" w:hAnsi="Arial" w:cs="Arial"/>
                <w:bCs/>
                <w:iCs/>
                <w:color w:val="000000" w:themeColor="text1"/>
              </w:rPr>
              <w:t xml:space="preserve"> </w:t>
            </w:r>
            <w:r w:rsidR="006725DA">
              <w:rPr>
                <w:rFonts w:ascii="Arial" w:eastAsia="Calibri" w:hAnsi="Arial" w:cs="Arial"/>
                <w:bCs/>
                <w:iCs/>
                <w:color w:val="000000" w:themeColor="text1"/>
              </w:rPr>
              <w:t xml:space="preserve">An annual incident report is also produced and </w:t>
            </w:r>
            <w:r w:rsidR="00C554CD">
              <w:rPr>
                <w:rFonts w:ascii="Arial" w:eastAsia="Calibri" w:hAnsi="Arial" w:cs="Arial"/>
                <w:bCs/>
                <w:iCs/>
                <w:color w:val="000000" w:themeColor="text1"/>
              </w:rPr>
              <w:t>provided to the Head of Dentistry to provide high level oversight.</w:t>
            </w:r>
          </w:p>
          <w:p w14:paraId="545B927C" w14:textId="77777777" w:rsidR="00123852" w:rsidRPr="00937FD0" w:rsidRDefault="00123852" w:rsidP="008C71F3">
            <w:pPr>
              <w:tabs>
                <w:tab w:val="left" w:pos="720"/>
                <w:tab w:val="left" w:pos="9214"/>
              </w:tabs>
              <w:ind w:right="34"/>
              <w:rPr>
                <w:rFonts w:ascii="Arial" w:eastAsia="Calibri" w:hAnsi="Arial" w:cs="Arial"/>
                <w:bCs/>
                <w:iCs/>
                <w:color w:val="000000" w:themeColor="text1"/>
              </w:rPr>
            </w:pPr>
          </w:p>
          <w:p w14:paraId="6899E039" w14:textId="269EDC7B" w:rsidR="00123852" w:rsidRDefault="00123852" w:rsidP="008C71F3">
            <w:pPr>
              <w:tabs>
                <w:tab w:val="left" w:pos="720"/>
                <w:tab w:val="left" w:pos="9214"/>
              </w:tabs>
              <w:ind w:right="34"/>
              <w:rPr>
                <w:rFonts w:ascii="Arial" w:eastAsia="Calibri" w:hAnsi="Arial" w:cs="Arial"/>
                <w:bCs/>
                <w:iCs/>
                <w:color w:val="000000" w:themeColor="text1"/>
              </w:rPr>
            </w:pPr>
            <w:r w:rsidRPr="00937FD0">
              <w:rPr>
                <w:rFonts w:ascii="Arial" w:eastAsia="Calibri" w:hAnsi="Arial" w:cs="Arial"/>
                <w:bCs/>
                <w:iCs/>
                <w:color w:val="000000" w:themeColor="text1"/>
              </w:rPr>
              <w:t xml:space="preserve">Staff </w:t>
            </w:r>
            <w:r w:rsidR="00E55C30" w:rsidRPr="00937FD0">
              <w:rPr>
                <w:rFonts w:ascii="Arial" w:eastAsia="Calibri" w:hAnsi="Arial" w:cs="Arial"/>
                <w:bCs/>
                <w:iCs/>
                <w:color w:val="000000" w:themeColor="text1"/>
              </w:rPr>
              <w:t xml:space="preserve">ensure they meet with the student(s) involved to ensure they understand what happened and </w:t>
            </w:r>
            <w:r w:rsidR="00C964B5">
              <w:rPr>
                <w:rFonts w:ascii="Arial" w:eastAsia="Calibri" w:hAnsi="Arial" w:cs="Arial"/>
                <w:bCs/>
                <w:iCs/>
                <w:color w:val="000000" w:themeColor="text1"/>
              </w:rPr>
              <w:t>what learning can be taken from the event</w:t>
            </w:r>
            <w:r w:rsidR="00E55C30" w:rsidRPr="00937FD0">
              <w:rPr>
                <w:rFonts w:ascii="Arial" w:eastAsia="Calibri" w:hAnsi="Arial" w:cs="Arial"/>
                <w:bCs/>
                <w:iCs/>
                <w:color w:val="000000" w:themeColor="text1"/>
              </w:rPr>
              <w:t>.</w:t>
            </w:r>
            <w:r w:rsidR="00A25C48" w:rsidRPr="00937FD0">
              <w:rPr>
                <w:rFonts w:ascii="Arial" w:eastAsia="Calibri" w:hAnsi="Arial" w:cs="Arial"/>
                <w:bCs/>
                <w:iCs/>
                <w:color w:val="000000" w:themeColor="text1"/>
              </w:rPr>
              <w:t xml:space="preserve"> This occurs as a debrief initially after the event and then with a follow up meeting</w:t>
            </w:r>
            <w:r w:rsidR="00332AB1" w:rsidRPr="00937FD0">
              <w:rPr>
                <w:rFonts w:ascii="Arial" w:eastAsia="Calibri" w:hAnsi="Arial" w:cs="Arial"/>
                <w:bCs/>
                <w:iCs/>
                <w:color w:val="000000" w:themeColor="text1"/>
              </w:rPr>
              <w:t xml:space="preserve"> after the incident is closed.</w:t>
            </w:r>
          </w:p>
          <w:p w14:paraId="1302C61B" w14:textId="77777777" w:rsidR="007525E4" w:rsidRDefault="007525E4" w:rsidP="008C71F3">
            <w:pPr>
              <w:tabs>
                <w:tab w:val="left" w:pos="720"/>
                <w:tab w:val="left" w:pos="9214"/>
              </w:tabs>
              <w:ind w:right="34"/>
              <w:rPr>
                <w:rFonts w:ascii="Arial" w:eastAsia="Calibri" w:hAnsi="Arial" w:cs="Arial"/>
                <w:bCs/>
                <w:iCs/>
                <w:color w:val="000000" w:themeColor="text1"/>
              </w:rPr>
            </w:pPr>
          </w:p>
          <w:p w14:paraId="20F0CF09" w14:textId="19666177" w:rsidR="007525E4" w:rsidRPr="00937FD0" w:rsidRDefault="007525E4" w:rsidP="008C71F3">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There </w:t>
            </w:r>
            <w:r w:rsidR="00D20FFE">
              <w:rPr>
                <w:rFonts w:ascii="Arial" w:eastAsia="Calibri" w:hAnsi="Arial" w:cs="Arial"/>
                <w:bCs/>
                <w:iCs/>
                <w:color w:val="000000" w:themeColor="text1"/>
              </w:rPr>
              <w:t xml:space="preserve">are </w:t>
            </w:r>
            <w:r>
              <w:rPr>
                <w:rFonts w:ascii="Arial" w:eastAsia="Calibri" w:hAnsi="Arial" w:cs="Arial"/>
                <w:bCs/>
                <w:iCs/>
                <w:color w:val="000000" w:themeColor="text1"/>
              </w:rPr>
              <w:t xml:space="preserve">clear thresholds for </w:t>
            </w:r>
            <w:r w:rsidR="007A41B1">
              <w:rPr>
                <w:rFonts w:ascii="Arial" w:eastAsia="Calibri" w:hAnsi="Arial" w:cs="Arial"/>
                <w:bCs/>
                <w:iCs/>
                <w:color w:val="000000" w:themeColor="text1"/>
              </w:rPr>
              <w:t>escalation, and this information</w:t>
            </w:r>
            <w:r w:rsidR="007C07AB">
              <w:rPr>
                <w:rFonts w:ascii="Arial" w:eastAsia="Calibri" w:hAnsi="Arial" w:cs="Arial"/>
                <w:bCs/>
                <w:iCs/>
                <w:color w:val="000000" w:themeColor="text1"/>
              </w:rPr>
              <w:t xml:space="preserve">, </w:t>
            </w:r>
            <w:r w:rsidR="0038368C">
              <w:rPr>
                <w:rFonts w:ascii="Arial" w:eastAsia="Calibri" w:hAnsi="Arial" w:cs="Arial"/>
                <w:bCs/>
                <w:iCs/>
                <w:color w:val="000000" w:themeColor="text1"/>
              </w:rPr>
              <w:t>alongside</w:t>
            </w:r>
            <w:r w:rsidR="007C07AB">
              <w:rPr>
                <w:rFonts w:ascii="Arial" w:eastAsia="Calibri" w:hAnsi="Arial" w:cs="Arial"/>
                <w:bCs/>
                <w:iCs/>
                <w:color w:val="000000" w:themeColor="text1"/>
              </w:rPr>
              <w:t xml:space="preserve"> the processes and framework</w:t>
            </w:r>
            <w:r w:rsidR="007A41B1">
              <w:rPr>
                <w:rFonts w:ascii="Arial" w:eastAsia="Calibri" w:hAnsi="Arial" w:cs="Arial"/>
                <w:bCs/>
                <w:iCs/>
                <w:color w:val="000000" w:themeColor="text1"/>
              </w:rPr>
              <w:t xml:space="preserve"> w</w:t>
            </w:r>
            <w:r w:rsidR="0038368C">
              <w:rPr>
                <w:rFonts w:ascii="Arial" w:eastAsia="Calibri" w:hAnsi="Arial" w:cs="Arial"/>
                <w:bCs/>
                <w:iCs/>
                <w:color w:val="000000" w:themeColor="text1"/>
              </w:rPr>
              <w:t>ere</w:t>
            </w:r>
            <w:r w:rsidR="007A41B1">
              <w:rPr>
                <w:rFonts w:ascii="Arial" w:eastAsia="Calibri" w:hAnsi="Arial" w:cs="Arial"/>
                <w:bCs/>
                <w:iCs/>
                <w:color w:val="000000" w:themeColor="text1"/>
              </w:rPr>
              <w:t xml:space="preserve"> </w:t>
            </w:r>
            <w:r w:rsidR="0038368C">
              <w:rPr>
                <w:rFonts w:ascii="Arial" w:eastAsia="Calibri" w:hAnsi="Arial" w:cs="Arial"/>
                <w:bCs/>
                <w:iCs/>
                <w:color w:val="000000" w:themeColor="text1"/>
              </w:rPr>
              <w:t>provided</w:t>
            </w:r>
            <w:r w:rsidR="007A41B1">
              <w:rPr>
                <w:rFonts w:ascii="Arial" w:eastAsia="Calibri" w:hAnsi="Arial" w:cs="Arial"/>
                <w:bCs/>
                <w:iCs/>
                <w:color w:val="000000" w:themeColor="text1"/>
              </w:rPr>
              <w:t xml:space="preserve"> to the panel before the inspection. The p</w:t>
            </w:r>
            <w:r w:rsidR="00B949C8">
              <w:rPr>
                <w:rFonts w:ascii="Arial" w:eastAsia="Calibri" w:hAnsi="Arial" w:cs="Arial"/>
                <w:bCs/>
                <w:iCs/>
                <w:color w:val="000000" w:themeColor="text1"/>
              </w:rPr>
              <w:t>ane</w:t>
            </w:r>
            <w:r w:rsidR="007A41B1">
              <w:rPr>
                <w:rFonts w:ascii="Arial" w:eastAsia="Calibri" w:hAnsi="Arial" w:cs="Arial"/>
                <w:bCs/>
                <w:iCs/>
                <w:color w:val="000000" w:themeColor="text1"/>
              </w:rPr>
              <w:t>l are confident that incidents are dealt with approp</w:t>
            </w:r>
            <w:r w:rsidR="00D20FFE">
              <w:rPr>
                <w:rFonts w:ascii="Arial" w:eastAsia="Calibri" w:hAnsi="Arial" w:cs="Arial"/>
                <w:bCs/>
                <w:iCs/>
                <w:color w:val="000000" w:themeColor="text1"/>
              </w:rPr>
              <w:t>riately and proportionately.</w:t>
            </w:r>
          </w:p>
          <w:p w14:paraId="4F9E31A0" w14:textId="77777777" w:rsidR="00996083" w:rsidRDefault="00996083" w:rsidP="008C71F3">
            <w:pPr>
              <w:tabs>
                <w:tab w:val="left" w:pos="720"/>
                <w:tab w:val="left" w:pos="9214"/>
              </w:tabs>
              <w:ind w:right="34"/>
              <w:rPr>
                <w:rFonts w:ascii="Arial" w:eastAsia="Calibri" w:hAnsi="Arial" w:cs="Arial"/>
                <w:bCs/>
                <w:iCs/>
                <w:color w:val="000000" w:themeColor="text1"/>
              </w:rPr>
            </w:pPr>
          </w:p>
          <w:p w14:paraId="404C8379" w14:textId="2C03DC93" w:rsidR="007A45A8" w:rsidRPr="007A45A8" w:rsidRDefault="007A45A8" w:rsidP="007A45A8">
            <w:pPr>
              <w:tabs>
                <w:tab w:val="left" w:pos="720"/>
                <w:tab w:val="left" w:pos="9248"/>
              </w:tabs>
              <w:ind w:right="34"/>
              <w:rPr>
                <w:rFonts w:ascii="Arial" w:hAnsi="Arial" w:cs="Arial"/>
              </w:rPr>
            </w:pPr>
            <w:r>
              <w:rPr>
                <w:rFonts w:ascii="Arial" w:hAnsi="Arial" w:cs="Arial"/>
              </w:rPr>
              <w:t xml:space="preserve">The panel was assured by the information provided prior to the inspection and further by the information shared during the inspection that </w:t>
            </w:r>
            <w:r w:rsidR="005A2288">
              <w:rPr>
                <w:rFonts w:ascii="Arial" w:hAnsi="Arial" w:cs="Arial"/>
              </w:rPr>
              <w:t xml:space="preserve">patient safety incidents are identified, recorded and </w:t>
            </w:r>
            <w:r w:rsidR="003D5D50">
              <w:rPr>
                <w:rFonts w:ascii="Arial" w:hAnsi="Arial" w:cs="Arial"/>
              </w:rPr>
              <w:t xml:space="preserve">appropriately acted upon and that this </w:t>
            </w:r>
            <w:r>
              <w:rPr>
                <w:rFonts w:ascii="Arial" w:hAnsi="Arial" w:cs="Arial"/>
              </w:rPr>
              <w:t xml:space="preserve">requirement is </w:t>
            </w:r>
            <w:r>
              <w:rPr>
                <w:rFonts w:ascii="Arial" w:hAnsi="Arial" w:cs="Arial"/>
                <w:b/>
                <w:bCs/>
              </w:rPr>
              <w:t>Met.</w:t>
            </w:r>
          </w:p>
          <w:p w14:paraId="1596411C" w14:textId="77777777" w:rsidR="007A45A8" w:rsidRPr="00937FD0" w:rsidRDefault="007A45A8" w:rsidP="008C71F3">
            <w:pPr>
              <w:tabs>
                <w:tab w:val="left" w:pos="720"/>
                <w:tab w:val="left" w:pos="9214"/>
              </w:tabs>
              <w:ind w:right="34"/>
              <w:rPr>
                <w:rFonts w:ascii="Arial" w:eastAsia="Calibri" w:hAnsi="Arial" w:cs="Arial"/>
                <w:bCs/>
                <w:iCs/>
                <w:color w:val="000000" w:themeColor="text1"/>
              </w:rPr>
            </w:pPr>
          </w:p>
          <w:p w14:paraId="76AB27A3" w14:textId="3893B38E" w:rsidR="00E2148E" w:rsidRPr="0084743E" w:rsidRDefault="00E2148E" w:rsidP="008C71F3">
            <w:pPr>
              <w:tabs>
                <w:tab w:val="left" w:pos="720"/>
                <w:tab w:val="left" w:pos="9214"/>
              </w:tabs>
              <w:ind w:right="2789"/>
              <w:rPr>
                <w:rFonts w:ascii="Arial" w:eastAsia="Calibri" w:hAnsi="Arial" w:cs="Arial"/>
                <w:color w:val="000000" w:themeColor="text1"/>
              </w:rPr>
            </w:pPr>
          </w:p>
          <w:p w14:paraId="25F93F3D" w14:textId="5DB9D044" w:rsidR="00E2148E" w:rsidRPr="00CE1FEA" w:rsidRDefault="00E2148E" w:rsidP="008C71F3">
            <w:pPr>
              <w:tabs>
                <w:tab w:val="left" w:pos="720"/>
                <w:tab w:val="left" w:pos="9214"/>
              </w:tabs>
              <w:rPr>
                <w:rFonts w:ascii="Arial" w:eastAsia="Calibri" w:hAnsi="Arial" w:cs="Arial"/>
                <w:b/>
                <w:color w:val="7F7F7F" w:themeColor="text1" w:themeTint="80"/>
              </w:rPr>
            </w:pPr>
            <w:r w:rsidRPr="00CE1FEA">
              <w:rPr>
                <w:rFonts w:ascii="Arial" w:eastAsia="Calibri" w:hAnsi="Arial" w:cs="Arial"/>
                <w:b/>
                <w:color w:val="7F7F7F" w:themeColor="text1" w:themeTint="80"/>
              </w:rPr>
              <w:t xml:space="preserve">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 </w:t>
            </w:r>
            <w:r w:rsidRPr="00F540C9">
              <w:rPr>
                <w:rFonts w:ascii="Arial" w:eastAsia="Calibri" w:hAnsi="Arial" w:cs="Arial"/>
                <w:b/>
                <w:i/>
                <w:color w:val="7F7F7F" w:themeColor="text1" w:themeTint="80"/>
              </w:rPr>
              <w:t>(Requirement Met)</w:t>
            </w:r>
          </w:p>
          <w:p w14:paraId="65FBD83B" w14:textId="77777777" w:rsidR="00E2148E" w:rsidRPr="0084743E" w:rsidRDefault="00E2148E" w:rsidP="008C71F3">
            <w:pPr>
              <w:tabs>
                <w:tab w:val="left" w:pos="9214"/>
              </w:tabs>
              <w:rPr>
                <w:rFonts w:ascii="Arial" w:eastAsia="Calibri" w:hAnsi="Arial" w:cs="Arial"/>
                <w:color w:val="000000" w:themeColor="text1"/>
              </w:rPr>
            </w:pPr>
          </w:p>
          <w:p w14:paraId="09A33DCE" w14:textId="77777777" w:rsidR="00E2148E" w:rsidRPr="0084743E" w:rsidRDefault="00E2148E" w:rsidP="008C71F3">
            <w:pPr>
              <w:tabs>
                <w:tab w:val="left" w:pos="9214"/>
              </w:tabs>
              <w:rPr>
                <w:rFonts w:ascii="Arial" w:eastAsia="Calibri" w:hAnsi="Arial" w:cs="Arial"/>
                <w:color w:val="000000" w:themeColor="text1"/>
              </w:rPr>
            </w:pPr>
          </w:p>
        </w:tc>
      </w:tr>
      <w:tr w:rsidR="00E2148E" w:rsidRPr="0084743E" w14:paraId="23DE9A68" w14:textId="77777777" w:rsidTr="7E8039CF">
        <w:tc>
          <w:tcPr>
            <w:tcW w:w="9464" w:type="dxa"/>
            <w:gridSpan w:val="3"/>
            <w:shd w:val="clear" w:color="auto" w:fill="2F5496" w:themeFill="accent1" w:themeFillShade="BF"/>
          </w:tcPr>
          <w:p w14:paraId="180AADF4" w14:textId="77777777" w:rsidR="00E2148E" w:rsidRPr="0084743E" w:rsidRDefault="00E2148E" w:rsidP="008C71F3">
            <w:pPr>
              <w:rPr>
                <w:rFonts w:ascii="Arial" w:hAnsi="Arial" w:cs="Arial"/>
                <w:b/>
                <w:color w:val="FFFFFF" w:themeColor="background1"/>
              </w:rPr>
            </w:pPr>
            <w:r w:rsidRPr="0084743E">
              <w:rPr>
                <w:rFonts w:ascii="Arial" w:hAnsi="Arial" w:cs="Arial"/>
                <w:b/>
                <w:color w:val="FFFFFF" w:themeColor="background1"/>
              </w:rPr>
              <w:lastRenderedPageBreak/>
              <w:t>Standard 2 – Quality evaluation and review of the programme</w:t>
            </w:r>
          </w:p>
          <w:p w14:paraId="6CC02F2C" w14:textId="77777777" w:rsidR="00E2148E" w:rsidRPr="0084743E" w:rsidRDefault="00E2148E" w:rsidP="008C71F3">
            <w:pPr>
              <w:rPr>
                <w:rFonts w:ascii="Arial" w:hAnsi="Arial" w:cs="Arial"/>
                <w:b/>
                <w:color w:val="FFFFFF" w:themeColor="background1"/>
              </w:rPr>
            </w:pPr>
            <w:r w:rsidRPr="0084743E">
              <w:rPr>
                <w:rFonts w:ascii="Arial" w:eastAsia="Calibri" w:hAnsi="Arial" w:cs="Arial"/>
                <w:b/>
                <w:color w:val="FFFFFF" w:themeColor="background1"/>
              </w:rPr>
              <w:t>The provider must have in place effective policy and procedures for the monitoring and review of the programme.</w:t>
            </w:r>
          </w:p>
        </w:tc>
      </w:tr>
      <w:tr w:rsidR="00E2148E" w:rsidRPr="0084743E" w14:paraId="16612C79" w14:textId="77777777" w:rsidTr="7E8039CF">
        <w:trPr>
          <w:trHeight w:val="270"/>
        </w:trPr>
        <w:tc>
          <w:tcPr>
            <w:tcW w:w="9464" w:type="dxa"/>
            <w:gridSpan w:val="3"/>
          </w:tcPr>
          <w:p w14:paraId="2DD63F28" w14:textId="77777777" w:rsidR="00E2148E" w:rsidRPr="0084743E" w:rsidRDefault="00E2148E" w:rsidP="008C71F3">
            <w:pPr>
              <w:tabs>
                <w:tab w:val="left" w:pos="720"/>
                <w:tab w:val="left" w:pos="9214"/>
              </w:tabs>
              <w:ind w:right="34"/>
              <w:rPr>
                <w:rFonts w:ascii="Arial" w:eastAsia="Calibri" w:hAnsi="Arial" w:cs="Arial"/>
                <w:b/>
                <w:color w:val="000000" w:themeColor="text1"/>
              </w:rPr>
            </w:pPr>
          </w:p>
          <w:p w14:paraId="348E3E6F" w14:textId="72F17B04" w:rsidR="00E2148E" w:rsidRPr="00167D74" w:rsidRDefault="00E2148E" w:rsidP="008C71F3">
            <w:pPr>
              <w:tabs>
                <w:tab w:val="left" w:pos="720"/>
                <w:tab w:val="left" w:pos="9214"/>
              </w:tabs>
              <w:ind w:right="34"/>
              <w:rPr>
                <w:rFonts w:ascii="Arial" w:eastAsia="Calibri" w:hAnsi="Arial" w:cs="Arial"/>
                <w:b/>
                <w:i/>
                <w:color w:val="000000" w:themeColor="text1"/>
              </w:rPr>
            </w:pPr>
            <w:r w:rsidRPr="00167D74">
              <w:rPr>
                <w:rFonts w:ascii="Arial" w:eastAsia="Calibri" w:hAnsi="Arial" w:cs="Arial"/>
                <w:b/>
                <w:color w:val="000000" w:themeColor="text1"/>
              </w:rPr>
              <w:t xml:space="preserve">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 </w:t>
            </w:r>
            <w:r w:rsidR="00167D74" w:rsidRPr="0084743E">
              <w:rPr>
                <w:rFonts w:ascii="Arial" w:eastAsia="Calibri" w:hAnsi="Arial" w:cs="Arial"/>
                <w:b/>
                <w:i/>
                <w:color w:val="000000" w:themeColor="text1"/>
              </w:rPr>
              <w:t>(</w:t>
            </w:r>
            <w:r w:rsidR="00167D74" w:rsidRPr="00B1044C">
              <w:rPr>
                <w:rFonts w:ascii="Arial" w:eastAsia="Calibri" w:hAnsi="Arial" w:cs="Arial"/>
                <w:b/>
                <w:i/>
                <w:color w:val="000000" w:themeColor="text1"/>
              </w:rPr>
              <w:t>Requirement Met</w:t>
            </w:r>
            <w:r w:rsidR="00167D74" w:rsidRPr="0084743E">
              <w:rPr>
                <w:rFonts w:ascii="Arial" w:eastAsia="Calibri" w:hAnsi="Arial" w:cs="Arial"/>
                <w:b/>
                <w:i/>
                <w:color w:val="000000" w:themeColor="text1"/>
              </w:rPr>
              <w:t>)</w:t>
            </w:r>
          </w:p>
          <w:p w14:paraId="1D123411" w14:textId="77777777" w:rsidR="00F94EE6" w:rsidRDefault="00F94EE6" w:rsidP="008C71F3">
            <w:pPr>
              <w:tabs>
                <w:tab w:val="left" w:pos="720"/>
                <w:tab w:val="left" w:pos="9214"/>
              </w:tabs>
              <w:ind w:right="34"/>
              <w:rPr>
                <w:rFonts w:ascii="Arial" w:eastAsia="Calibri" w:hAnsi="Arial" w:cs="Arial"/>
                <w:b/>
                <w:i/>
                <w:color w:val="000000" w:themeColor="text1"/>
              </w:rPr>
            </w:pPr>
          </w:p>
          <w:p w14:paraId="012A1202" w14:textId="36BBC44A" w:rsidR="00F94EE6" w:rsidRDefault="00F94EE6" w:rsidP="00F94EE6">
            <w:pPr>
              <w:tabs>
                <w:tab w:val="left" w:pos="720"/>
                <w:tab w:val="left" w:pos="9214"/>
              </w:tabs>
              <w:ind w:right="34"/>
              <w:rPr>
                <w:rFonts w:ascii="Arial" w:eastAsia="Calibri" w:hAnsi="Arial" w:cs="Arial"/>
                <w:bCs/>
                <w:iCs/>
                <w:color w:val="000000" w:themeColor="text1"/>
              </w:rPr>
            </w:pPr>
            <w:r w:rsidRPr="00D503A7">
              <w:rPr>
                <w:rFonts w:ascii="Arial" w:eastAsia="Calibri" w:hAnsi="Arial" w:cs="Arial"/>
                <w:bCs/>
                <w:iCs/>
                <w:color w:val="000000" w:themeColor="text1"/>
              </w:rPr>
              <w:t xml:space="preserve">The </w:t>
            </w:r>
            <w:proofErr w:type="gramStart"/>
            <w:r w:rsidR="00013A4A">
              <w:rPr>
                <w:rFonts w:ascii="Arial" w:eastAsia="Calibri" w:hAnsi="Arial" w:cs="Arial"/>
                <w:bCs/>
                <w:iCs/>
                <w:color w:val="000000" w:themeColor="text1"/>
              </w:rPr>
              <w:t>S</w:t>
            </w:r>
            <w:r w:rsidRPr="00D503A7">
              <w:rPr>
                <w:rFonts w:ascii="Arial" w:eastAsia="Calibri" w:hAnsi="Arial" w:cs="Arial"/>
                <w:bCs/>
                <w:iCs/>
                <w:color w:val="000000" w:themeColor="text1"/>
              </w:rPr>
              <w:t>chool</w:t>
            </w:r>
            <w:proofErr w:type="gramEnd"/>
            <w:r w:rsidRPr="00D503A7">
              <w:rPr>
                <w:rFonts w:ascii="Arial" w:eastAsia="Calibri" w:hAnsi="Arial" w:cs="Arial"/>
                <w:bCs/>
                <w:iCs/>
                <w:color w:val="000000" w:themeColor="text1"/>
              </w:rPr>
              <w:t xml:space="preserve"> sits within the College </w:t>
            </w:r>
            <w:r>
              <w:rPr>
                <w:rFonts w:ascii="Arial" w:eastAsia="Calibri" w:hAnsi="Arial" w:cs="Arial"/>
                <w:bCs/>
                <w:iCs/>
                <w:color w:val="000000" w:themeColor="text1"/>
              </w:rPr>
              <w:t>of</w:t>
            </w:r>
            <w:r w:rsidRPr="00D503A7">
              <w:rPr>
                <w:rFonts w:ascii="Arial" w:eastAsia="Calibri" w:hAnsi="Arial" w:cs="Arial"/>
                <w:bCs/>
                <w:iCs/>
                <w:color w:val="000000" w:themeColor="text1"/>
              </w:rPr>
              <w:t xml:space="preserve"> Medicine and Health within the </w:t>
            </w:r>
            <w:r>
              <w:rPr>
                <w:rFonts w:ascii="Arial" w:eastAsia="Calibri" w:hAnsi="Arial" w:cs="Arial"/>
                <w:bCs/>
                <w:iCs/>
                <w:color w:val="000000" w:themeColor="text1"/>
              </w:rPr>
              <w:t>U</w:t>
            </w:r>
            <w:r w:rsidRPr="00D503A7">
              <w:rPr>
                <w:rFonts w:ascii="Arial" w:eastAsia="Calibri" w:hAnsi="Arial" w:cs="Arial"/>
                <w:bCs/>
                <w:iCs/>
                <w:color w:val="000000" w:themeColor="text1"/>
              </w:rPr>
              <w:t>niversity structure</w:t>
            </w:r>
            <w:r>
              <w:rPr>
                <w:rFonts w:ascii="Arial" w:eastAsia="Calibri" w:hAnsi="Arial" w:cs="Arial"/>
                <w:bCs/>
                <w:iCs/>
                <w:color w:val="000000" w:themeColor="text1"/>
              </w:rPr>
              <w:t xml:space="preserve"> and there is assurance regarding where responsibility lies for quality assurance for the programme.</w:t>
            </w:r>
          </w:p>
          <w:p w14:paraId="460193F1"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45956DC0" w14:textId="53F23205"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lastRenderedPageBreak/>
              <w:t xml:space="preserve">The department, </w:t>
            </w:r>
            <w:r w:rsidR="00013A4A">
              <w:rPr>
                <w:rFonts w:ascii="Arial" w:eastAsia="Calibri" w:hAnsi="Arial" w:cs="Arial"/>
                <w:bCs/>
                <w:iCs/>
                <w:color w:val="000000" w:themeColor="text1"/>
              </w:rPr>
              <w:t>S</w:t>
            </w:r>
            <w:r>
              <w:rPr>
                <w:rFonts w:ascii="Arial" w:eastAsia="Calibri" w:hAnsi="Arial" w:cs="Arial"/>
                <w:bCs/>
                <w:iCs/>
                <w:color w:val="000000" w:themeColor="text1"/>
              </w:rPr>
              <w:t xml:space="preserve">chool and college have various committees that manage the quality of the programme. There is a robust framework which oversees the delivery of education within </w:t>
            </w:r>
            <w:r w:rsidR="00FB58CA">
              <w:rPr>
                <w:rFonts w:ascii="Arial" w:eastAsia="Calibri" w:hAnsi="Arial" w:cs="Arial"/>
                <w:bCs/>
                <w:iCs/>
                <w:color w:val="000000" w:themeColor="text1"/>
              </w:rPr>
              <w:t>d</w:t>
            </w:r>
            <w:r>
              <w:rPr>
                <w:rFonts w:ascii="Arial" w:eastAsia="Calibri" w:hAnsi="Arial" w:cs="Arial"/>
                <w:bCs/>
                <w:iCs/>
                <w:color w:val="000000" w:themeColor="text1"/>
              </w:rPr>
              <w:t>entistry, aligned at both college and university level.</w:t>
            </w:r>
          </w:p>
          <w:p w14:paraId="10A044F5"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6F821530" w14:textId="79391D33"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university has clear governance and approval processes for programme and curricular change. The recent curriculum change demonstrated adherence to university processes. This demonstrated the acknowledgment of the changes to the GDC learning outcomes which were considered by the </w:t>
            </w:r>
            <w:proofErr w:type="gramStart"/>
            <w:r w:rsidR="00013A4A">
              <w:rPr>
                <w:rFonts w:ascii="Arial" w:eastAsia="Calibri" w:hAnsi="Arial" w:cs="Arial"/>
                <w:bCs/>
                <w:iCs/>
                <w:color w:val="000000" w:themeColor="text1"/>
              </w:rPr>
              <w:t>S</w:t>
            </w:r>
            <w:r>
              <w:rPr>
                <w:rFonts w:ascii="Arial" w:eastAsia="Calibri" w:hAnsi="Arial" w:cs="Arial"/>
                <w:bCs/>
                <w:iCs/>
                <w:color w:val="000000" w:themeColor="text1"/>
              </w:rPr>
              <w:t>chool</w:t>
            </w:r>
            <w:proofErr w:type="gramEnd"/>
            <w:r>
              <w:rPr>
                <w:rFonts w:ascii="Arial" w:eastAsia="Calibri" w:hAnsi="Arial" w:cs="Arial"/>
                <w:bCs/>
                <w:iCs/>
                <w:color w:val="000000" w:themeColor="text1"/>
              </w:rPr>
              <w:t>.</w:t>
            </w:r>
          </w:p>
          <w:p w14:paraId="6C73B664"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2E290028"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The mechanisms for managing the quality of the programme includes:</w:t>
            </w:r>
          </w:p>
          <w:p w14:paraId="75F7D2AC"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-Quality management staff/committees</w:t>
            </w:r>
          </w:p>
          <w:p w14:paraId="3F5A1003"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-Annual review</w:t>
            </w:r>
          </w:p>
          <w:p w14:paraId="7D2522EB"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-Use of External Examiners</w:t>
            </w:r>
          </w:p>
          <w:p w14:paraId="14B99DCA"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-Feedback utilised for programme development</w:t>
            </w:r>
          </w:p>
          <w:p w14:paraId="2FE71125"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-Assessment &amp; Calibration</w:t>
            </w:r>
          </w:p>
          <w:p w14:paraId="4E898C36"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-Staff induction &amp; training</w:t>
            </w:r>
          </w:p>
          <w:p w14:paraId="0DD4D04F"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-Peer review</w:t>
            </w:r>
          </w:p>
          <w:p w14:paraId="38480E43"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-Mapping of learning outcomes</w:t>
            </w:r>
          </w:p>
          <w:p w14:paraId="3F57F695"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-QA of outreach</w:t>
            </w:r>
          </w:p>
          <w:p w14:paraId="2C9B8E98"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66BA163D" w14:textId="162BFB39"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are appropriately supported and have regular meetings with their personal tutor or </w:t>
            </w:r>
            <w:r w:rsidR="00FD2E3C">
              <w:rPr>
                <w:rFonts w:ascii="Arial" w:eastAsia="Calibri" w:hAnsi="Arial" w:cs="Arial"/>
                <w:bCs/>
                <w:iCs/>
                <w:color w:val="000000" w:themeColor="text1"/>
              </w:rPr>
              <w:t>H</w:t>
            </w:r>
            <w:r>
              <w:rPr>
                <w:rFonts w:ascii="Arial" w:eastAsia="Calibri" w:hAnsi="Arial" w:cs="Arial"/>
                <w:bCs/>
                <w:iCs/>
                <w:color w:val="000000" w:themeColor="text1"/>
              </w:rPr>
              <w:t xml:space="preserve">eads of </w:t>
            </w:r>
            <w:r w:rsidR="00FD2E3C">
              <w:rPr>
                <w:rFonts w:ascii="Arial" w:eastAsia="Calibri" w:hAnsi="Arial" w:cs="Arial"/>
                <w:bCs/>
                <w:iCs/>
                <w:color w:val="000000" w:themeColor="text1"/>
              </w:rPr>
              <w:t>F</w:t>
            </w:r>
            <w:r>
              <w:rPr>
                <w:rFonts w:ascii="Arial" w:eastAsia="Calibri" w:hAnsi="Arial" w:cs="Arial"/>
                <w:bCs/>
                <w:iCs/>
                <w:color w:val="000000" w:themeColor="text1"/>
              </w:rPr>
              <w:t>irm. There is a requirement on CAFS for attendance at a minimum number of meetings and if a student does not engage, they will be identified, and programme staff will follow up with students. These meetings allow for progress to be effectively monitored.</w:t>
            </w:r>
          </w:p>
          <w:p w14:paraId="0BF404C5"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2B67AE8B" w14:textId="77777777"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The effective use of CAFS allows for close monitoring of student progress, feedback, reflection and professional behaviour.</w:t>
            </w:r>
          </w:p>
          <w:p w14:paraId="439FCE15"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64B1CF52" w14:textId="2BACF648" w:rsidR="00F94EE6" w:rsidRDefault="00F94EE6" w:rsidP="00F94EE6">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Communication with students is effective with staff utilising morning safety huddles, newsletters and welcome back sessions. Students informed the panel that feedback is considered and that the programme makes positive changes </w:t>
            </w:r>
            <w:r w:rsidR="00DB4DB3">
              <w:rPr>
                <w:rFonts w:ascii="Arial" w:eastAsia="Calibri" w:hAnsi="Arial" w:cs="Arial"/>
                <w:bCs/>
                <w:iCs/>
                <w:color w:val="000000" w:themeColor="text1"/>
              </w:rPr>
              <w:t>because</w:t>
            </w:r>
            <w:r>
              <w:rPr>
                <w:rFonts w:ascii="Arial" w:eastAsia="Calibri" w:hAnsi="Arial" w:cs="Arial"/>
                <w:bCs/>
                <w:iCs/>
                <w:color w:val="000000" w:themeColor="text1"/>
              </w:rPr>
              <w:t xml:space="preserve"> of this.</w:t>
            </w:r>
          </w:p>
          <w:p w14:paraId="146B78E0"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7A08D50E" w14:textId="7E832231" w:rsidR="00F94EE6" w:rsidRDefault="00F94EE6" w:rsidP="00F94EE6">
            <w:pPr>
              <w:tabs>
                <w:tab w:val="left" w:pos="720"/>
                <w:tab w:val="left" w:pos="9214"/>
              </w:tabs>
              <w:ind w:right="34"/>
              <w:rPr>
                <w:rFonts w:ascii="Arial" w:hAnsi="Arial" w:cs="Arial"/>
                <w:bCs/>
              </w:rPr>
            </w:pPr>
            <w:r>
              <w:rPr>
                <w:rFonts w:ascii="Arial" w:hAnsi="Arial" w:cs="Arial"/>
                <w:bCs/>
              </w:rPr>
              <w:t xml:space="preserve">The External Examiners (EE) play a key role in maintaining the quality of the programme and commented on the high standards and quality, as well as the recognition of feedback provided. The involvement of Students in EE processes is valuable to the </w:t>
            </w:r>
            <w:proofErr w:type="gramStart"/>
            <w:r w:rsidR="00013A4A">
              <w:rPr>
                <w:rFonts w:ascii="Arial" w:hAnsi="Arial" w:cs="Arial"/>
                <w:bCs/>
              </w:rPr>
              <w:t>S</w:t>
            </w:r>
            <w:r>
              <w:rPr>
                <w:rFonts w:ascii="Arial" w:hAnsi="Arial" w:cs="Arial"/>
                <w:bCs/>
              </w:rPr>
              <w:t>chool</w:t>
            </w:r>
            <w:proofErr w:type="gramEnd"/>
            <w:r>
              <w:rPr>
                <w:rFonts w:ascii="Arial" w:hAnsi="Arial" w:cs="Arial"/>
                <w:bCs/>
              </w:rPr>
              <w:t>, and the EE’s commented on how much they value the opportunity to meet with students. Students being involved in the QA of the programme allows for transparency and understanding of assessments.</w:t>
            </w:r>
          </w:p>
          <w:p w14:paraId="3FE27651" w14:textId="77777777" w:rsidR="00F94EE6" w:rsidRDefault="00F94EE6" w:rsidP="00F94EE6">
            <w:pPr>
              <w:tabs>
                <w:tab w:val="left" w:pos="720"/>
                <w:tab w:val="left" w:pos="9214"/>
              </w:tabs>
              <w:ind w:right="34"/>
              <w:rPr>
                <w:rFonts w:ascii="Arial" w:hAnsi="Arial" w:cs="Arial"/>
                <w:bCs/>
              </w:rPr>
            </w:pPr>
          </w:p>
          <w:p w14:paraId="027AB253" w14:textId="1A0A183C" w:rsidR="0021586B" w:rsidRPr="007A45A8" w:rsidRDefault="0021586B" w:rsidP="0021586B">
            <w:pPr>
              <w:tabs>
                <w:tab w:val="left" w:pos="720"/>
                <w:tab w:val="left" w:pos="9248"/>
              </w:tabs>
              <w:ind w:right="34"/>
              <w:rPr>
                <w:rFonts w:ascii="Arial" w:hAnsi="Arial" w:cs="Arial"/>
              </w:rPr>
            </w:pPr>
            <w:r>
              <w:rPr>
                <w:rFonts w:ascii="Arial" w:hAnsi="Arial" w:cs="Arial"/>
              </w:rPr>
              <w:t xml:space="preserve">The panel was assured by the information provided prior to the inspection and further by the information shared during the inspection that the quality assurance of the programme is managed appropriately and that this requirement is </w:t>
            </w:r>
            <w:r>
              <w:rPr>
                <w:rFonts w:ascii="Arial" w:hAnsi="Arial" w:cs="Arial"/>
                <w:b/>
                <w:bCs/>
              </w:rPr>
              <w:t>Met.</w:t>
            </w:r>
          </w:p>
          <w:p w14:paraId="424F97AD" w14:textId="77777777" w:rsidR="0021586B" w:rsidRDefault="0021586B" w:rsidP="00F94EE6">
            <w:pPr>
              <w:tabs>
                <w:tab w:val="left" w:pos="720"/>
                <w:tab w:val="left" w:pos="9214"/>
              </w:tabs>
              <w:ind w:right="34"/>
              <w:rPr>
                <w:rFonts w:ascii="Arial" w:hAnsi="Arial" w:cs="Arial"/>
                <w:bCs/>
              </w:rPr>
            </w:pPr>
          </w:p>
          <w:p w14:paraId="0D970684" w14:textId="77777777" w:rsidR="00F94EE6" w:rsidRDefault="00F94EE6" w:rsidP="00F94EE6">
            <w:pPr>
              <w:tabs>
                <w:tab w:val="left" w:pos="720"/>
                <w:tab w:val="left" w:pos="9214"/>
              </w:tabs>
              <w:ind w:right="34"/>
              <w:rPr>
                <w:rFonts w:ascii="Arial" w:eastAsia="Calibri" w:hAnsi="Arial" w:cs="Arial"/>
                <w:bCs/>
                <w:iCs/>
                <w:color w:val="000000" w:themeColor="text1"/>
              </w:rPr>
            </w:pPr>
          </w:p>
          <w:p w14:paraId="176579BA" w14:textId="3E086DBD" w:rsidR="00E2148E" w:rsidRPr="00CE1FEA" w:rsidRDefault="00E2148E" w:rsidP="008C71F3">
            <w:pPr>
              <w:tabs>
                <w:tab w:val="left" w:pos="720"/>
                <w:tab w:val="left" w:pos="9214"/>
              </w:tabs>
              <w:ind w:right="34"/>
              <w:rPr>
                <w:rFonts w:ascii="Arial" w:eastAsia="Calibri" w:hAnsi="Arial" w:cs="Arial"/>
                <w:b/>
                <w:i/>
                <w:color w:val="7F7F7F" w:themeColor="text1" w:themeTint="80"/>
              </w:rPr>
            </w:pPr>
            <w:r w:rsidRPr="00CE1FEA">
              <w:rPr>
                <w:rFonts w:ascii="Arial" w:eastAsia="Calibri" w:hAnsi="Arial" w:cs="Arial"/>
                <w:b/>
                <w:color w:val="7F7F7F" w:themeColor="text1" w:themeTint="80"/>
              </w:rPr>
              <w:t>Requirement 10: Any concerns identified through the</w:t>
            </w:r>
            <w:r w:rsidR="003D2602" w:rsidRPr="00CE1FEA">
              <w:rPr>
                <w:rFonts w:ascii="Arial" w:eastAsia="Calibri" w:hAnsi="Arial" w:cs="Arial"/>
                <w:b/>
                <w:color w:val="7F7F7F" w:themeColor="text1" w:themeTint="80"/>
              </w:rPr>
              <w:t xml:space="preserve"> operation of the q</w:t>
            </w:r>
            <w:r w:rsidRPr="00CE1FEA">
              <w:rPr>
                <w:rFonts w:ascii="Arial" w:eastAsia="Calibri" w:hAnsi="Arial" w:cs="Arial"/>
                <w:b/>
                <w:color w:val="7F7F7F" w:themeColor="text1" w:themeTint="80"/>
              </w:rPr>
              <w:t xml:space="preserve">uality </w:t>
            </w:r>
            <w:r w:rsidR="003D2602" w:rsidRPr="00CE1FEA">
              <w:rPr>
                <w:rFonts w:ascii="Arial" w:eastAsia="Calibri" w:hAnsi="Arial" w:cs="Arial"/>
                <w:b/>
                <w:color w:val="7F7F7F" w:themeColor="text1" w:themeTint="80"/>
              </w:rPr>
              <w:t>m</w:t>
            </w:r>
            <w:r w:rsidRPr="00CE1FEA">
              <w:rPr>
                <w:rFonts w:ascii="Arial" w:eastAsia="Calibri" w:hAnsi="Arial" w:cs="Arial"/>
                <w:b/>
                <w:color w:val="7F7F7F" w:themeColor="text1" w:themeTint="80"/>
              </w:rPr>
              <w:t>anagement framework, including internal and external reports relating to quality, must be addressed as soon as possible and the GDC notified of serious threats to students achieving the learning outcomes</w:t>
            </w:r>
            <w:r w:rsidR="002B380A" w:rsidRPr="00CE1FEA">
              <w:rPr>
                <w:rFonts w:ascii="Arial" w:eastAsia="Calibri" w:hAnsi="Arial" w:cs="Arial"/>
                <w:b/>
                <w:color w:val="7F7F7F" w:themeColor="text1" w:themeTint="80"/>
              </w:rPr>
              <w:t>.</w:t>
            </w:r>
            <w:r w:rsidRPr="00CE1FEA">
              <w:rPr>
                <w:rFonts w:ascii="Arial" w:eastAsia="Calibri" w:hAnsi="Arial" w:cs="Arial"/>
                <w:b/>
                <w:color w:val="7F7F7F" w:themeColor="text1" w:themeTint="80"/>
              </w:rPr>
              <w:t xml:space="preserve"> </w:t>
            </w:r>
            <w:r w:rsidRPr="00CE1FEA">
              <w:rPr>
                <w:rFonts w:ascii="Arial" w:eastAsia="Calibri" w:hAnsi="Arial" w:cs="Arial"/>
                <w:b/>
                <w:i/>
                <w:color w:val="7F7F7F" w:themeColor="text1" w:themeTint="80"/>
              </w:rPr>
              <w:t>(</w:t>
            </w:r>
            <w:r w:rsidRPr="00F540C9">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0E96666C" w14:textId="77777777" w:rsidR="00E2148E" w:rsidRPr="00CE1FEA" w:rsidRDefault="00E2148E" w:rsidP="008C71F3">
            <w:pPr>
              <w:tabs>
                <w:tab w:val="left" w:pos="9214"/>
              </w:tabs>
              <w:ind w:right="34"/>
              <w:rPr>
                <w:rFonts w:ascii="Arial" w:eastAsia="Calibri" w:hAnsi="Arial" w:cs="Arial"/>
                <w:color w:val="7F7F7F" w:themeColor="text1" w:themeTint="80"/>
              </w:rPr>
            </w:pPr>
          </w:p>
          <w:p w14:paraId="3AE3FCA0" w14:textId="181AFCA4" w:rsidR="00E2148E" w:rsidRPr="00CE1FEA" w:rsidRDefault="00E2148E" w:rsidP="7E8039CF">
            <w:pPr>
              <w:tabs>
                <w:tab w:val="left" w:pos="720"/>
                <w:tab w:val="left" w:pos="9214"/>
              </w:tabs>
              <w:ind w:right="34"/>
              <w:rPr>
                <w:rFonts w:ascii="Arial" w:eastAsia="Calibri" w:hAnsi="Arial" w:cs="Arial"/>
                <w:b/>
                <w:i/>
                <w:color w:val="7F7F7F" w:themeColor="text1" w:themeTint="80"/>
              </w:rPr>
            </w:pPr>
            <w:r w:rsidRPr="00CE1FEA">
              <w:rPr>
                <w:rFonts w:ascii="Arial" w:eastAsia="Calibri" w:hAnsi="Arial" w:cs="Arial"/>
                <w:b/>
                <w:color w:val="7F7F7F" w:themeColor="text1" w:themeTint="80"/>
              </w:rPr>
              <w:t xml:space="preserve">Requirement 11: 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 </w:t>
            </w:r>
            <w:r w:rsidRPr="00CE1FEA">
              <w:rPr>
                <w:rFonts w:ascii="Arial" w:eastAsia="Calibri" w:hAnsi="Arial" w:cs="Arial"/>
                <w:b/>
                <w:i/>
                <w:color w:val="7F7F7F" w:themeColor="text1" w:themeTint="80"/>
              </w:rPr>
              <w:t>(</w:t>
            </w:r>
            <w:r w:rsidRPr="00F540C9">
              <w:rPr>
                <w:rFonts w:ascii="Arial" w:eastAsia="Calibri" w:hAnsi="Arial" w:cs="Arial"/>
                <w:b/>
                <w:i/>
                <w:color w:val="7F7F7F" w:themeColor="text1" w:themeTint="80"/>
              </w:rPr>
              <w:t>Requirement</w:t>
            </w:r>
            <w:r w:rsidR="00F540C9" w:rsidRPr="00F540C9">
              <w:rPr>
                <w:rFonts w:ascii="Arial" w:eastAsia="Calibri" w:hAnsi="Arial" w:cs="Arial"/>
                <w:b/>
                <w:i/>
                <w:color w:val="7F7F7F" w:themeColor="text1" w:themeTint="80"/>
              </w:rPr>
              <w:t xml:space="preserve"> </w:t>
            </w:r>
            <w:r w:rsidRPr="00F540C9">
              <w:rPr>
                <w:rFonts w:ascii="Arial" w:eastAsia="Calibri" w:hAnsi="Arial" w:cs="Arial"/>
                <w:b/>
                <w:i/>
                <w:color w:val="7F7F7F" w:themeColor="text1" w:themeTint="80"/>
              </w:rPr>
              <w:t>Met</w:t>
            </w:r>
            <w:r w:rsidRPr="00CE1FEA">
              <w:rPr>
                <w:rFonts w:ascii="Arial" w:eastAsia="Calibri" w:hAnsi="Arial" w:cs="Arial"/>
                <w:b/>
                <w:i/>
                <w:color w:val="7F7F7F" w:themeColor="text1" w:themeTint="80"/>
              </w:rPr>
              <w:t>)</w:t>
            </w:r>
            <w:r w:rsidR="1BC77ADA" w:rsidRPr="00CE1FEA">
              <w:rPr>
                <w:rFonts w:ascii="Arial" w:eastAsia="Calibri" w:hAnsi="Arial" w:cs="Arial"/>
                <w:b/>
                <w:i/>
                <w:color w:val="7F7F7F" w:themeColor="text1" w:themeTint="80"/>
              </w:rPr>
              <w:t xml:space="preserve"> </w:t>
            </w:r>
          </w:p>
          <w:p w14:paraId="7F08AE62" w14:textId="77777777" w:rsidR="00E2148E" w:rsidRPr="00CE1FEA" w:rsidRDefault="00E2148E" w:rsidP="008C71F3">
            <w:pPr>
              <w:tabs>
                <w:tab w:val="left" w:pos="720"/>
                <w:tab w:val="left" w:pos="9214"/>
              </w:tabs>
              <w:ind w:right="34"/>
              <w:rPr>
                <w:rFonts w:ascii="Arial" w:eastAsia="Calibri" w:hAnsi="Arial" w:cs="Arial"/>
                <w:b/>
                <w:color w:val="7F7F7F" w:themeColor="text1" w:themeTint="80"/>
              </w:rPr>
            </w:pPr>
          </w:p>
          <w:p w14:paraId="0B16EF66" w14:textId="58C7195B" w:rsidR="00E2148E" w:rsidRPr="00CE1FEA" w:rsidRDefault="00E2148E" w:rsidP="008C71F3">
            <w:pPr>
              <w:tabs>
                <w:tab w:val="left" w:pos="720"/>
                <w:tab w:val="left" w:pos="9214"/>
              </w:tabs>
              <w:ind w:right="34"/>
              <w:rPr>
                <w:rFonts w:ascii="Arial" w:eastAsia="Calibri" w:hAnsi="Arial" w:cs="Arial"/>
                <w:b/>
                <w:color w:val="7F7F7F" w:themeColor="text1" w:themeTint="80"/>
              </w:rPr>
            </w:pPr>
            <w:r w:rsidRPr="00CE1FEA">
              <w:rPr>
                <w:rFonts w:ascii="Arial" w:eastAsia="Calibri" w:hAnsi="Arial" w:cs="Arial"/>
                <w:b/>
                <w:color w:val="7F7F7F" w:themeColor="text1" w:themeTint="80"/>
              </w:rPr>
              <w:t xml:space="preserve">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 </w:t>
            </w:r>
            <w:r w:rsidRPr="00CE1FEA">
              <w:rPr>
                <w:rFonts w:ascii="Arial" w:eastAsia="Calibri" w:hAnsi="Arial" w:cs="Arial"/>
                <w:b/>
                <w:i/>
                <w:color w:val="7F7F7F" w:themeColor="text1" w:themeTint="80"/>
              </w:rPr>
              <w:t>(</w:t>
            </w:r>
            <w:r w:rsidRPr="00143322">
              <w:rPr>
                <w:rFonts w:ascii="Arial" w:eastAsia="Calibri" w:hAnsi="Arial" w:cs="Arial"/>
                <w:b/>
                <w:i/>
                <w:color w:val="7F7F7F" w:themeColor="text1" w:themeTint="80"/>
              </w:rPr>
              <w:t xml:space="preserve">Requirement </w:t>
            </w:r>
            <w:r w:rsidR="00527931" w:rsidRPr="00143322">
              <w:rPr>
                <w:rFonts w:ascii="Arial" w:eastAsia="Calibri" w:hAnsi="Arial" w:cs="Arial"/>
                <w:b/>
                <w:i/>
                <w:color w:val="7F7F7F" w:themeColor="text1" w:themeTint="80"/>
              </w:rPr>
              <w:t>Met</w:t>
            </w:r>
            <w:r w:rsidRPr="00CE1FEA">
              <w:rPr>
                <w:rFonts w:ascii="Arial" w:eastAsia="Calibri" w:hAnsi="Arial" w:cs="Arial"/>
                <w:b/>
                <w:i/>
                <w:color w:val="7F7F7F" w:themeColor="text1" w:themeTint="80"/>
              </w:rPr>
              <w:t>)</w:t>
            </w:r>
          </w:p>
          <w:p w14:paraId="1061E37F" w14:textId="57643AFF" w:rsidR="00906DD0" w:rsidRPr="0084743E" w:rsidRDefault="00906DD0" w:rsidP="009201CA">
            <w:pPr>
              <w:tabs>
                <w:tab w:val="left" w:pos="9214"/>
              </w:tabs>
              <w:ind w:right="34"/>
              <w:rPr>
                <w:rFonts w:ascii="Arial" w:eastAsia="Calibri" w:hAnsi="Arial" w:cs="Arial"/>
                <w:color w:val="000000" w:themeColor="text1"/>
              </w:rPr>
            </w:pPr>
          </w:p>
        </w:tc>
      </w:tr>
    </w:tbl>
    <w:p w14:paraId="28F3CD50" w14:textId="77777777" w:rsidR="00E2148E" w:rsidRPr="0084743E" w:rsidRDefault="00E2148E" w:rsidP="00E2148E">
      <w:pPr>
        <w:spacing w:after="0" w:line="240" w:lineRule="auto"/>
        <w:rPr>
          <w:rFonts w:ascii="Arial" w:hAnsi="Arial" w:cs="Arial"/>
        </w:rPr>
      </w:pPr>
    </w:p>
    <w:tbl>
      <w:tblPr>
        <w:tblStyle w:val="TableGrid"/>
        <w:tblW w:w="9464" w:type="dxa"/>
        <w:tblLook w:val="04A0" w:firstRow="1" w:lastRow="0" w:firstColumn="1" w:lastColumn="0" w:noHBand="0" w:noVBand="1"/>
      </w:tblPr>
      <w:tblGrid>
        <w:gridCol w:w="9464"/>
      </w:tblGrid>
      <w:tr w:rsidR="00E2148E" w:rsidRPr="0084743E" w14:paraId="0977AE07" w14:textId="77777777" w:rsidTr="008C71F3">
        <w:tc>
          <w:tcPr>
            <w:tcW w:w="9464" w:type="dxa"/>
            <w:shd w:val="clear" w:color="auto" w:fill="2F5496" w:themeFill="accent1" w:themeFillShade="BF"/>
          </w:tcPr>
          <w:p w14:paraId="3A93300A" w14:textId="38C1F5D7" w:rsidR="00E2148E" w:rsidRPr="0084743E" w:rsidRDefault="00E2148E" w:rsidP="008C71F3">
            <w:pPr>
              <w:rPr>
                <w:rFonts w:ascii="Arial" w:hAnsi="Arial" w:cs="Arial"/>
                <w:b/>
                <w:color w:val="FFFFFF" w:themeColor="background1"/>
              </w:rPr>
            </w:pPr>
            <w:r w:rsidRPr="0084743E">
              <w:rPr>
                <w:rFonts w:ascii="Arial" w:hAnsi="Arial" w:cs="Arial"/>
              </w:rPr>
              <w:br w:type="page"/>
            </w:r>
            <w:r w:rsidRPr="0084743E">
              <w:rPr>
                <w:rFonts w:ascii="Arial" w:hAnsi="Arial" w:cs="Arial"/>
                <w:b/>
                <w:color w:val="FFFFFF" w:themeColor="background1"/>
              </w:rPr>
              <w:t>Standard 3</w:t>
            </w:r>
            <w:proofErr w:type="gramStart"/>
            <w:r w:rsidRPr="0084743E">
              <w:rPr>
                <w:rFonts w:ascii="Arial" w:hAnsi="Arial" w:cs="Arial"/>
                <w:b/>
                <w:color w:val="FFFFFF" w:themeColor="background1"/>
              </w:rPr>
              <w:t>–  Student</w:t>
            </w:r>
            <w:proofErr w:type="gramEnd"/>
            <w:r w:rsidRPr="0084743E">
              <w:rPr>
                <w:rFonts w:ascii="Arial" w:hAnsi="Arial" w:cs="Arial"/>
                <w:b/>
                <w:color w:val="FFFFFF" w:themeColor="background1"/>
              </w:rPr>
              <w:t xml:space="preserve"> assessment</w:t>
            </w:r>
          </w:p>
          <w:p w14:paraId="3BA6CF9E" w14:textId="77777777" w:rsidR="00E2148E" w:rsidRPr="0084743E" w:rsidRDefault="00E2148E" w:rsidP="008C71F3">
            <w:pPr>
              <w:rPr>
                <w:rFonts w:ascii="Arial" w:hAnsi="Arial" w:cs="Arial"/>
                <w:b/>
                <w:color w:val="FFFFFF" w:themeColor="background1"/>
              </w:rPr>
            </w:pPr>
            <w:r w:rsidRPr="0084743E">
              <w:rPr>
                <w:rFonts w:ascii="Arial" w:eastAsia="Calibri" w:hAnsi="Arial" w:cs="Arial"/>
                <w:b/>
                <w:color w:val="FFFFFF" w:themeColor="background1"/>
              </w:rPr>
              <w:t>Assessment must be reliable and valid. The choice of assessment method must be appropriate to demonstrate achievement of the GDC learning outcomes. Assessors must be fit to perform the assessment task.</w:t>
            </w:r>
          </w:p>
        </w:tc>
      </w:tr>
      <w:tr w:rsidR="00E2148E" w:rsidRPr="0084743E" w14:paraId="61F97003" w14:textId="77777777" w:rsidTr="008C71F3">
        <w:trPr>
          <w:trHeight w:val="1266"/>
        </w:trPr>
        <w:tc>
          <w:tcPr>
            <w:tcW w:w="9464" w:type="dxa"/>
          </w:tcPr>
          <w:p w14:paraId="51B375BD" w14:textId="77777777" w:rsidR="00E2148E" w:rsidRPr="0084743E" w:rsidRDefault="00E2148E" w:rsidP="008C71F3">
            <w:pPr>
              <w:tabs>
                <w:tab w:val="left" w:pos="356"/>
                <w:tab w:val="left" w:pos="9248"/>
              </w:tabs>
              <w:rPr>
                <w:rFonts w:ascii="Arial" w:eastAsia="Calibri" w:hAnsi="Arial" w:cs="Arial"/>
                <w:b/>
                <w:color w:val="000000" w:themeColor="text1"/>
              </w:rPr>
            </w:pPr>
          </w:p>
          <w:p w14:paraId="6CB8C45A" w14:textId="3F9CCDB5" w:rsidR="00E2148E" w:rsidRPr="0084743E" w:rsidRDefault="00E2148E" w:rsidP="008C71F3">
            <w:pPr>
              <w:tabs>
                <w:tab w:val="left" w:pos="356"/>
                <w:tab w:val="left" w:pos="9248"/>
              </w:tabs>
              <w:rPr>
                <w:rFonts w:ascii="Arial" w:hAnsi="Arial" w:cs="Arial"/>
                <w:b/>
                <w:i/>
              </w:rPr>
            </w:pPr>
            <w:r w:rsidRPr="0084743E">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Pr="0084743E">
              <w:rPr>
                <w:rFonts w:ascii="Arial" w:eastAsia="Calibri" w:hAnsi="Arial" w:cs="Arial"/>
                <w:b/>
                <w:i/>
                <w:color w:val="000000" w:themeColor="text1"/>
              </w:rPr>
              <w:t xml:space="preserve"> </w:t>
            </w:r>
            <w:r w:rsidRPr="0084743E">
              <w:rPr>
                <w:rFonts w:ascii="Arial" w:hAnsi="Arial" w:cs="Arial"/>
                <w:b/>
                <w:i/>
              </w:rPr>
              <w:t>(</w:t>
            </w:r>
            <w:r w:rsidRPr="00B1044C">
              <w:rPr>
                <w:rFonts w:ascii="Arial" w:hAnsi="Arial" w:cs="Arial"/>
                <w:b/>
                <w:i/>
              </w:rPr>
              <w:t xml:space="preserve">Requirement </w:t>
            </w:r>
            <w:r w:rsidR="009201CA" w:rsidRPr="00B1044C">
              <w:rPr>
                <w:rFonts w:ascii="Arial" w:eastAsia="Calibri" w:hAnsi="Arial" w:cs="Arial"/>
                <w:b/>
                <w:i/>
                <w:color w:val="000000" w:themeColor="text1"/>
              </w:rPr>
              <w:t>Met</w:t>
            </w:r>
            <w:r w:rsidRPr="0084743E">
              <w:rPr>
                <w:rFonts w:ascii="Arial" w:hAnsi="Arial" w:cs="Arial"/>
                <w:b/>
                <w:i/>
              </w:rPr>
              <w:t>)</w:t>
            </w:r>
          </w:p>
          <w:p w14:paraId="4A4DA17A" w14:textId="77777777" w:rsidR="003F5F16" w:rsidRDefault="003F5F16" w:rsidP="008C71F3">
            <w:pPr>
              <w:tabs>
                <w:tab w:val="left" w:pos="356"/>
                <w:tab w:val="left" w:pos="9248"/>
              </w:tabs>
              <w:rPr>
                <w:rFonts w:ascii="Arial" w:hAnsi="Arial" w:cs="Arial"/>
                <w:b/>
                <w:i/>
              </w:rPr>
            </w:pPr>
          </w:p>
          <w:p w14:paraId="598C8195" w14:textId="41D8A8AB" w:rsidR="003F5F16" w:rsidRDefault="003F5F16" w:rsidP="008C71F3">
            <w:pPr>
              <w:tabs>
                <w:tab w:val="left" w:pos="356"/>
                <w:tab w:val="left" w:pos="9248"/>
              </w:tabs>
              <w:rPr>
                <w:rFonts w:ascii="Arial" w:hAnsi="Arial" w:cs="Arial"/>
                <w:bCs/>
                <w:iCs/>
              </w:rPr>
            </w:pPr>
            <w:r>
              <w:rPr>
                <w:rFonts w:ascii="Arial" w:hAnsi="Arial" w:cs="Arial"/>
                <w:bCs/>
                <w:iCs/>
              </w:rPr>
              <w:t xml:space="preserve">CAFS is being utilised to map teaching activity to the Safe Practitioner Framework </w:t>
            </w:r>
            <w:r w:rsidR="00672232">
              <w:rPr>
                <w:rFonts w:ascii="Arial" w:hAnsi="Arial" w:cs="Arial"/>
                <w:bCs/>
                <w:iCs/>
              </w:rPr>
              <w:t>l</w:t>
            </w:r>
            <w:r>
              <w:rPr>
                <w:rFonts w:ascii="Arial" w:hAnsi="Arial" w:cs="Arial"/>
                <w:bCs/>
                <w:iCs/>
              </w:rPr>
              <w:t>earning outcomes. The panel was assured that CAFS i</w:t>
            </w:r>
            <w:r w:rsidR="00672232">
              <w:rPr>
                <w:rFonts w:ascii="Arial" w:hAnsi="Arial" w:cs="Arial"/>
                <w:bCs/>
                <w:iCs/>
              </w:rPr>
              <w:t>s</w:t>
            </w:r>
            <w:r>
              <w:rPr>
                <w:rFonts w:ascii="Arial" w:hAnsi="Arial" w:cs="Arial"/>
                <w:bCs/>
                <w:iCs/>
              </w:rPr>
              <w:t xml:space="preserve"> being utilised effectively.</w:t>
            </w:r>
          </w:p>
          <w:p w14:paraId="06339A58" w14:textId="77777777" w:rsidR="00735D16" w:rsidRDefault="00735D16" w:rsidP="008C71F3">
            <w:pPr>
              <w:tabs>
                <w:tab w:val="left" w:pos="356"/>
                <w:tab w:val="left" w:pos="9248"/>
              </w:tabs>
              <w:rPr>
                <w:rFonts w:ascii="Arial" w:hAnsi="Arial" w:cs="Arial"/>
                <w:bCs/>
                <w:iCs/>
              </w:rPr>
            </w:pPr>
          </w:p>
          <w:p w14:paraId="27A13145" w14:textId="5DDA7553" w:rsidR="00735D16" w:rsidRDefault="00D50A24" w:rsidP="008C71F3">
            <w:pPr>
              <w:tabs>
                <w:tab w:val="left" w:pos="356"/>
                <w:tab w:val="left" w:pos="9248"/>
              </w:tabs>
              <w:rPr>
                <w:rFonts w:ascii="Arial" w:hAnsi="Arial" w:cs="Arial"/>
                <w:bCs/>
                <w:iCs/>
              </w:rPr>
            </w:pPr>
            <w:r>
              <w:rPr>
                <w:rFonts w:ascii="Arial" w:hAnsi="Arial" w:cs="Arial"/>
                <w:bCs/>
                <w:iCs/>
              </w:rPr>
              <w:t>There is regular monitoring of progress and students</w:t>
            </w:r>
            <w:r w:rsidR="00FA60E3">
              <w:rPr>
                <w:rFonts w:ascii="Arial" w:hAnsi="Arial" w:cs="Arial"/>
                <w:bCs/>
                <w:iCs/>
              </w:rPr>
              <w:t xml:space="preserve"> are </w:t>
            </w:r>
            <w:r w:rsidR="00372A9C">
              <w:rPr>
                <w:rFonts w:ascii="Arial" w:hAnsi="Arial" w:cs="Arial"/>
                <w:bCs/>
                <w:iCs/>
              </w:rPr>
              <w:t xml:space="preserve">also </w:t>
            </w:r>
            <w:r w:rsidR="00891256">
              <w:rPr>
                <w:rFonts w:ascii="Arial" w:hAnsi="Arial" w:cs="Arial"/>
                <w:bCs/>
                <w:iCs/>
              </w:rPr>
              <w:t>able to navigate CAFS</w:t>
            </w:r>
            <w:r w:rsidR="007536A9">
              <w:rPr>
                <w:rFonts w:ascii="Arial" w:hAnsi="Arial" w:cs="Arial"/>
                <w:bCs/>
                <w:iCs/>
              </w:rPr>
              <w:t xml:space="preserve"> and take ownership of their progress</w:t>
            </w:r>
            <w:r w:rsidR="00372A9C">
              <w:rPr>
                <w:rFonts w:ascii="Arial" w:hAnsi="Arial" w:cs="Arial"/>
                <w:bCs/>
                <w:iCs/>
              </w:rPr>
              <w:t xml:space="preserve">. There is </w:t>
            </w:r>
            <w:r w:rsidR="003D0783">
              <w:rPr>
                <w:rFonts w:ascii="Arial" w:hAnsi="Arial" w:cs="Arial"/>
                <w:bCs/>
                <w:iCs/>
              </w:rPr>
              <w:t xml:space="preserve">a clear commitment to ensuring students have opportunities to achieve the learning outcomes. </w:t>
            </w:r>
          </w:p>
          <w:p w14:paraId="2FB8501B" w14:textId="77777777" w:rsidR="003F5F16" w:rsidRDefault="003F5F16" w:rsidP="008C71F3">
            <w:pPr>
              <w:tabs>
                <w:tab w:val="left" w:pos="356"/>
                <w:tab w:val="left" w:pos="9248"/>
              </w:tabs>
              <w:rPr>
                <w:rFonts w:ascii="Arial" w:hAnsi="Arial" w:cs="Arial"/>
                <w:bCs/>
                <w:iCs/>
              </w:rPr>
            </w:pPr>
          </w:p>
          <w:p w14:paraId="287607DF" w14:textId="2CA55E1B" w:rsidR="003F5F16" w:rsidRPr="003F5F16" w:rsidRDefault="005E3C3C" w:rsidP="008C71F3">
            <w:pPr>
              <w:tabs>
                <w:tab w:val="left" w:pos="356"/>
                <w:tab w:val="left" w:pos="9248"/>
              </w:tabs>
              <w:rPr>
                <w:rFonts w:ascii="Arial" w:hAnsi="Arial" w:cs="Arial"/>
                <w:bCs/>
                <w:iCs/>
              </w:rPr>
            </w:pPr>
            <w:r>
              <w:rPr>
                <w:rFonts w:ascii="Arial" w:hAnsi="Arial" w:cs="Arial"/>
                <w:bCs/>
                <w:iCs/>
              </w:rPr>
              <w:t>Students are given the opportunity to provide continuous car</w:t>
            </w:r>
            <w:r w:rsidR="003D0783">
              <w:rPr>
                <w:rFonts w:ascii="Arial" w:hAnsi="Arial" w:cs="Arial"/>
                <w:bCs/>
                <w:iCs/>
              </w:rPr>
              <w:t>e</w:t>
            </w:r>
            <w:r>
              <w:rPr>
                <w:rFonts w:ascii="Arial" w:hAnsi="Arial" w:cs="Arial"/>
                <w:bCs/>
                <w:iCs/>
              </w:rPr>
              <w:t xml:space="preserve"> to patients</w:t>
            </w:r>
            <w:r w:rsidR="003D0783">
              <w:rPr>
                <w:rFonts w:ascii="Arial" w:hAnsi="Arial" w:cs="Arial"/>
                <w:bCs/>
                <w:iCs/>
              </w:rPr>
              <w:t>,</w:t>
            </w:r>
            <w:r>
              <w:rPr>
                <w:rFonts w:ascii="Arial" w:hAnsi="Arial" w:cs="Arial"/>
                <w:bCs/>
                <w:iCs/>
              </w:rPr>
              <w:t xml:space="preserve"> </w:t>
            </w:r>
            <w:r w:rsidR="00E6716D">
              <w:rPr>
                <w:rFonts w:ascii="Arial" w:hAnsi="Arial" w:cs="Arial"/>
                <w:bCs/>
                <w:iCs/>
              </w:rPr>
              <w:t xml:space="preserve">which </w:t>
            </w:r>
            <w:r w:rsidR="00E6716D">
              <w:rPr>
                <w:rFonts w:ascii="Arial" w:hAnsi="Arial" w:cs="Arial"/>
                <w:bCs/>
              </w:rPr>
              <w:t>provides a valuable learning experience</w:t>
            </w:r>
            <w:r w:rsidR="003D0783">
              <w:rPr>
                <w:rFonts w:ascii="Arial" w:hAnsi="Arial" w:cs="Arial"/>
                <w:bCs/>
              </w:rPr>
              <w:t>.</w:t>
            </w:r>
            <w:r w:rsidR="00E6716D">
              <w:rPr>
                <w:rFonts w:ascii="Arial" w:hAnsi="Arial" w:cs="Arial"/>
                <w:bCs/>
              </w:rPr>
              <w:t xml:space="preserve"> If students require additional patients to achieve the competencies required, they </w:t>
            </w:r>
            <w:r w:rsidR="00E24A89">
              <w:rPr>
                <w:rFonts w:ascii="Arial" w:hAnsi="Arial" w:cs="Arial"/>
                <w:bCs/>
              </w:rPr>
              <w:t>will be assigned</w:t>
            </w:r>
            <w:r w:rsidR="00685420">
              <w:rPr>
                <w:rFonts w:ascii="Arial" w:hAnsi="Arial" w:cs="Arial"/>
                <w:bCs/>
              </w:rPr>
              <w:t xml:space="preserve">. </w:t>
            </w:r>
            <w:r w:rsidR="001E392D">
              <w:rPr>
                <w:rFonts w:ascii="Arial" w:hAnsi="Arial" w:cs="Arial"/>
                <w:bCs/>
              </w:rPr>
              <w:t xml:space="preserve">There are opportunities for </w:t>
            </w:r>
            <w:r w:rsidR="002737CD">
              <w:rPr>
                <w:rFonts w:ascii="Arial" w:hAnsi="Arial" w:cs="Arial"/>
                <w:bCs/>
              </w:rPr>
              <w:t>additional practice within the timetable, if required.</w:t>
            </w:r>
            <w:r w:rsidR="001E392D">
              <w:rPr>
                <w:rFonts w:ascii="Arial" w:hAnsi="Arial" w:cs="Arial"/>
                <w:bCs/>
              </w:rPr>
              <w:t xml:space="preserve"> </w:t>
            </w:r>
            <w:r w:rsidR="00685420">
              <w:rPr>
                <w:rFonts w:ascii="Arial" w:hAnsi="Arial" w:cs="Arial"/>
                <w:bCs/>
              </w:rPr>
              <w:t xml:space="preserve"> Competencies are also assessed within outreach</w:t>
            </w:r>
            <w:r w:rsidR="00E310CF">
              <w:rPr>
                <w:rFonts w:ascii="Arial" w:hAnsi="Arial" w:cs="Arial"/>
                <w:bCs/>
              </w:rPr>
              <w:t>,</w:t>
            </w:r>
            <w:r w:rsidR="00685420">
              <w:rPr>
                <w:rFonts w:ascii="Arial" w:hAnsi="Arial" w:cs="Arial"/>
                <w:bCs/>
              </w:rPr>
              <w:t xml:space="preserve"> and </w:t>
            </w:r>
            <w:r w:rsidR="00F30219">
              <w:rPr>
                <w:rFonts w:ascii="Arial" w:hAnsi="Arial" w:cs="Arial"/>
                <w:bCs/>
              </w:rPr>
              <w:t xml:space="preserve">all </w:t>
            </w:r>
            <w:r w:rsidR="0092708C">
              <w:rPr>
                <w:rFonts w:ascii="Arial" w:hAnsi="Arial" w:cs="Arial"/>
                <w:bCs/>
              </w:rPr>
              <w:t>staff are proactive in reviewing student progress and assigning suitable patients.</w:t>
            </w:r>
            <w:r w:rsidR="009515BA">
              <w:rPr>
                <w:rFonts w:ascii="Arial" w:hAnsi="Arial" w:cs="Arial"/>
                <w:bCs/>
              </w:rPr>
              <w:t xml:space="preserve"> Outreach staff are also utilising CAFs</w:t>
            </w:r>
            <w:r w:rsidR="0062015A">
              <w:rPr>
                <w:rFonts w:ascii="Arial" w:hAnsi="Arial" w:cs="Arial"/>
                <w:bCs/>
              </w:rPr>
              <w:t xml:space="preserve"> </w:t>
            </w:r>
            <w:r w:rsidR="007D7A72">
              <w:rPr>
                <w:rFonts w:ascii="Arial" w:hAnsi="Arial" w:cs="Arial"/>
                <w:bCs/>
              </w:rPr>
              <w:t>in alignment with the programme team.</w:t>
            </w:r>
          </w:p>
          <w:p w14:paraId="66500B65" w14:textId="77777777" w:rsidR="00DE2A82" w:rsidRDefault="00DE2A82" w:rsidP="008C71F3">
            <w:pPr>
              <w:tabs>
                <w:tab w:val="left" w:pos="356"/>
                <w:tab w:val="left" w:pos="9248"/>
              </w:tabs>
              <w:rPr>
                <w:rFonts w:ascii="Arial" w:hAnsi="Arial" w:cs="Arial"/>
                <w:bCs/>
              </w:rPr>
            </w:pPr>
          </w:p>
          <w:p w14:paraId="3E9157BC" w14:textId="6849CBBA" w:rsidR="00DE2A82" w:rsidRDefault="00DE2A82" w:rsidP="008C71F3">
            <w:pPr>
              <w:tabs>
                <w:tab w:val="left" w:pos="356"/>
                <w:tab w:val="left" w:pos="9248"/>
              </w:tabs>
              <w:rPr>
                <w:rFonts w:ascii="Arial" w:hAnsi="Arial" w:cs="Arial"/>
                <w:bCs/>
              </w:rPr>
            </w:pPr>
            <w:r>
              <w:rPr>
                <w:rFonts w:ascii="Arial" w:hAnsi="Arial" w:cs="Arial"/>
                <w:bCs/>
              </w:rPr>
              <w:t xml:space="preserve">Due to the </w:t>
            </w:r>
            <w:r w:rsidR="00FD0E0A">
              <w:rPr>
                <w:rFonts w:ascii="Arial" w:hAnsi="Arial" w:cs="Arial"/>
                <w:bCs/>
              </w:rPr>
              <w:t xml:space="preserve">close monitoring of students, those that </w:t>
            </w:r>
            <w:r w:rsidR="00F61410">
              <w:rPr>
                <w:rFonts w:ascii="Arial" w:hAnsi="Arial" w:cs="Arial"/>
                <w:bCs/>
              </w:rPr>
              <w:t xml:space="preserve">require additional support are identified in a timely manner. </w:t>
            </w:r>
            <w:r w:rsidR="001C58F7">
              <w:rPr>
                <w:rFonts w:ascii="Arial" w:hAnsi="Arial" w:cs="Arial"/>
                <w:bCs/>
              </w:rPr>
              <w:t>The support offered for these students is appropriate</w:t>
            </w:r>
            <w:r w:rsidR="00494CDA">
              <w:rPr>
                <w:rFonts w:ascii="Arial" w:hAnsi="Arial" w:cs="Arial"/>
                <w:bCs/>
              </w:rPr>
              <w:t xml:space="preserve"> and well organised</w:t>
            </w:r>
            <w:r w:rsidR="002C1923">
              <w:rPr>
                <w:rFonts w:ascii="Arial" w:hAnsi="Arial" w:cs="Arial"/>
                <w:bCs/>
              </w:rPr>
              <w:t>.</w:t>
            </w:r>
          </w:p>
          <w:p w14:paraId="3C86D42D" w14:textId="77777777" w:rsidR="00B5605D" w:rsidRDefault="00B5605D" w:rsidP="008C71F3">
            <w:pPr>
              <w:tabs>
                <w:tab w:val="left" w:pos="356"/>
                <w:tab w:val="left" w:pos="9248"/>
              </w:tabs>
              <w:rPr>
                <w:rFonts w:ascii="Arial" w:hAnsi="Arial" w:cs="Arial"/>
                <w:bCs/>
              </w:rPr>
            </w:pPr>
          </w:p>
          <w:p w14:paraId="1745020D" w14:textId="45748F94" w:rsidR="00B5605D" w:rsidRDefault="00B5605D" w:rsidP="008C71F3">
            <w:pPr>
              <w:tabs>
                <w:tab w:val="left" w:pos="356"/>
                <w:tab w:val="left" w:pos="9248"/>
              </w:tabs>
              <w:rPr>
                <w:rFonts w:ascii="Arial" w:hAnsi="Arial" w:cs="Arial"/>
                <w:bCs/>
              </w:rPr>
            </w:pPr>
            <w:r>
              <w:rPr>
                <w:rFonts w:ascii="Arial" w:hAnsi="Arial" w:cs="Arial"/>
                <w:bCs/>
              </w:rPr>
              <w:t xml:space="preserve">Regular meetings with personal academic tutors and </w:t>
            </w:r>
            <w:r w:rsidR="00031E79">
              <w:rPr>
                <w:rFonts w:ascii="Arial" w:hAnsi="Arial" w:cs="Arial"/>
                <w:bCs/>
              </w:rPr>
              <w:t>H</w:t>
            </w:r>
            <w:r>
              <w:rPr>
                <w:rFonts w:ascii="Arial" w:hAnsi="Arial" w:cs="Arial"/>
                <w:bCs/>
              </w:rPr>
              <w:t>ead</w:t>
            </w:r>
            <w:r w:rsidR="002D78AB">
              <w:rPr>
                <w:rFonts w:ascii="Arial" w:hAnsi="Arial" w:cs="Arial"/>
                <w:bCs/>
              </w:rPr>
              <w:t>s</w:t>
            </w:r>
            <w:r>
              <w:rPr>
                <w:rFonts w:ascii="Arial" w:hAnsi="Arial" w:cs="Arial"/>
                <w:bCs/>
              </w:rPr>
              <w:t xml:space="preserve"> of </w:t>
            </w:r>
            <w:r w:rsidR="00031E79">
              <w:rPr>
                <w:rFonts w:ascii="Arial" w:hAnsi="Arial" w:cs="Arial"/>
                <w:bCs/>
              </w:rPr>
              <w:t>F</w:t>
            </w:r>
            <w:r>
              <w:rPr>
                <w:rFonts w:ascii="Arial" w:hAnsi="Arial" w:cs="Arial"/>
                <w:bCs/>
              </w:rPr>
              <w:t xml:space="preserve">irm support, ensures progress is </w:t>
            </w:r>
            <w:r w:rsidR="00F677A6">
              <w:rPr>
                <w:rFonts w:ascii="Arial" w:hAnsi="Arial" w:cs="Arial"/>
                <w:bCs/>
              </w:rPr>
              <w:t>at the expected level.</w:t>
            </w:r>
            <w:r w:rsidR="00354DBD">
              <w:rPr>
                <w:rFonts w:ascii="Arial" w:hAnsi="Arial" w:cs="Arial"/>
                <w:bCs/>
              </w:rPr>
              <w:t xml:space="preserve"> There are multiple </w:t>
            </w:r>
            <w:r w:rsidR="007536A9">
              <w:rPr>
                <w:rFonts w:ascii="Arial" w:hAnsi="Arial" w:cs="Arial"/>
                <w:bCs/>
              </w:rPr>
              <w:t>scheduled opportunities</w:t>
            </w:r>
            <w:r w:rsidR="00354DBD">
              <w:rPr>
                <w:rFonts w:ascii="Arial" w:hAnsi="Arial" w:cs="Arial"/>
                <w:bCs/>
              </w:rPr>
              <w:t xml:space="preserve"> </w:t>
            </w:r>
            <w:r w:rsidR="00EE78E9">
              <w:rPr>
                <w:rFonts w:ascii="Arial" w:hAnsi="Arial" w:cs="Arial"/>
                <w:bCs/>
              </w:rPr>
              <w:t>for students to meet with programme staff</w:t>
            </w:r>
            <w:r w:rsidR="007536A9">
              <w:rPr>
                <w:rFonts w:ascii="Arial" w:hAnsi="Arial" w:cs="Arial"/>
                <w:bCs/>
              </w:rPr>
              <w:t>.</w:t>
            </w:r>
          </w:p>
          <w:p w14:paraId="2BD89C51" w14:textId="77777777" w:rsidR="00F677A6" w:rsidRDefault="00F677A6" w:rsidP="008C71F3">
            <w:pPr>
              <w:tabs>
                <w:tab w:val="left" w:pos="356"/>
                <w:tab w:val="left" w:pos="9248"/>
              </w:tabs>
              <w:rPr>
                <w:rFonts w:ascii="Arial" w:hAnsi="Arial" w:cs="Arial"/>
                <w:bCs/>
              </w:rPr>
            </w:pPr>
          </w:p>
          <w:p w14:paraId="5FEFA150" w14:textId="17F43C18" w:rsidR="00F677A6" w:rsidRDefault="002D408A" w:rsidP="008C71F3">
            <w:pPr>
              <w:tabs>
                <w:tab w:val="left" w:pos="356"/>
                <w:tab w:val="left" w:pos="9248"/>
              </w:tabs>
              <w:rPr>
                <w:rFonts w:ascii="Arial" w:hAnsi="Arial" w:cs="Arial"/>
                <w:bCs/>
              </w:rPr>
            </w:pPr>
            <w:r>
              <w:rPr>
                <w:rFonts w:ascii="Arial" w:hAnsi="Arial" w:cs="Arial"/>
                <w:bCs/>
              </w:rPr>
              <w:t xml:space="preserve">Students have access to phantom heads, haptic technology and </w:t>
            </w:r>
            <w:r w:rsidR="00941099">
              <w:rPr>
                <w:rFonts w:ascii="Arial" w:hAnsi="Arial" w:cs="Arial"/>
                <w:bCs/>
              </w:rPr>
              <w:t xml:space="preserve">patient experience both in the hospital and at outreach. </w:t>
            </w:r>
            <w:r w:rsidR="0029613F">
              <w:rPr>
                <w:rFonts w:ascii="Arial" w:hAnsi="Arial" w:cs="Arial"/>
                <w:bCs/>
              </w:rPr>
              <w:t xml:space="preserve">The programme </w:t>
            </w:r>
            <w:r w:rsidR="00DE04F1">
              <w:rPr>
                <w:rFonts w:ascii="Arial" w:hAnsi="Arial" w:cs="Arial"/>
                <w:bCs/>
              </w:rPr>
              <w:t xml:space="preserve">ensures students get an experience as close to real life as possible. </w:t>
            </w:r>
            <w:r w:rsidR="004C4F8F">
              <w:rPr>
                <w:rFonts w:ascii="Arial" w:hAnsi="Arial" w:cs="Arial"/>
                <w:bCs/>
              </w:rPr>
              <w:t xml:space="preserve">Students have </w:t>
            </w:r>
            <w:r w:rsidR="008F4D50">
              <w:rPr>
                <w:rFonts w:ascii="Arial" w:hAnsi="Arial" w:cs="Arial"/>
                <w:bCs/>
              </w:rPr>
              <w:t>access to outreach experience</w:t>
            </w:r>
            <w:r w:rsidR="00F30219">
              <w:rPr>
                <w:rFonts w:ascii="Arial" w:hAnsi="Arial" w:cs="Arial"/>
                <w:bCs/>
              </w:rPr>
              <w:t>,</w:t>
            </w:r>
            <w:r w:rsidR="008F4D50">
              <w:rPr>
                <w:rFonts w:ascii="Arial" w:hAnsi="Arial" w:cs="Arial"/>
                <w:bCs/>
              </w:rPr>
              <w:t xml:space="preserve"> and the </w:t>
            </w:r>
            <w:proofErr w:type="gramStart"/>
            <w:r w:rsidR="00013A4A">
              <w:rPr>
                <w:rFonts w:ascii="Arial" w:hAnsi="Arial" w:cs="Arial"/>
                <w:bCs/>
              </w:rPr>
              <w:t>S</w:t>
            </w:r>
            <w:r w:rsidR="008F4D50">
              <w:rPr>
                <w:rFonts w:ascii="Arial" w:hAnsi="Arial" w:cs="Arial"/>
                <w:bCs/>
              </w:rPr>
              <w:t>chool</w:t>
            </w:r>
            <w:proofErr w:type="gramEnd"/>
            <w:r w:rsidR="008F4D50">
              <w:rPr>
                <w:rFonts w:ascii="Arial" w:hAnsi="Arial" w:cs="Arial"/>
                <w:bCs/>
              </w:rPr>
              <w:t xml:space="preserve"> have </w:t>
            </w:r>
            <w:r w:rsidR="006D3D3F">
              <w:rPr>
                <w:rFonts w:ascii="Arial" w:hAnsi="Arial" w:cs="Arial"/>
                <w:bCs/>
              </w:rPr>
              <w:t xml:space="preserve">a strong relationship with a </w:t>
            </w:r>
            <w:r w:rsidR="00213A4D">
              <w:rPr>
                <w:rFonts w:ascii="Arial" w:hAnsi="Arial" w:cs="Arial"/>
                <w:bCs/>
              </w:rPr>
              <w:t xml:space="preserve">local hospital </w:t>
            </w:r>
            <w:proofErr w:type="spellStart"/>
            <w:r w:rsidR="006D3D3F">
              <w:rPr>
                <w:rFonts w:ascii="Arial" w:hAnsi="Arial" w:cs="Arial"/>
                <w:bCs/>
              </w:rPr>
              <w:t>MaxFax</w:t>
            </w:r>
            <w:proofErr w:type="spellEnd"/>
            <w:r w:rsidR="006D3D3F">
              <w:rPr>
                <w:rFonts w:ascii="Arial" w:hAnsi="Arial" w:cs="Arial"/>
                <w:bCs/>
              </w:rPr>
              <w:t xml:space="preserve"> department</w:t>
            </w:r>
            <w:r w:rsidR="00F30219">
              <w:rPr>
                <w:rFonts w:ascii="Arial" w:hAnsi="Arial" w:cs="Arial"/>
                <w:bCs/>
              </w:rPr>
              <w:t>,</w:t>
            </w:r>
            <w:r w:rsidR="00213A4D">
              <w:rPr>
                <w:rFonts w:ascii="Arial" w:hAnsi="Arial" w:cs="Arial"/>
                <w:bCs/>
              </w:rPr>
              <w:t xml:space="preserve"> where students gain observatory experience in this specialty</w:t>
            </w:r>
            <w:r w:rsidR="006D3D3F">
              <w:rPr>
                <w:rFonts w:ascii="Arial" w:hAnsi="Arial" w:cs="Arial"/>
                <w:bCs/>
              </w:rPr>
              <w:t>.</w:t>
            </w:r>
            <w:r w:rsidR="00080223">
              <w:rPr>
                <w:rFonts w:ascii="Arial" w:hAnsi="Arial" w:cs="Arial"/>
                <w:bCs/>
              </w:rPr>
              <w:t xml:space="preserve"> </w:t>
            </w:r>
          </w:p>
          <w:p w14:paraId="335B5B97" w14:textId="77777777" w:rsidR="002C1923" w:rsidRDefault="002C1923" w:rsidP="008C71F3">
            <w:pPr>
              <w:tabs>
                <w:tab w:val="left" w:pos="356"/>
                <w:tab w:val="left" w:pos="9248"/>
              </w:tabs>
              <w:rPr>
                <w:rFonts w:ascii="Arial" w:hAnsi="Arial" w:cs="Arial"/>
                <w:bCs/>
              </w:rPr>
            </w:pPr>
          </w:p>
          <w:p w14:paraId="6A1F0DE3" w14:textId="6DF24BF6" w:rsidR="00E00E0E" w:rsidRDefault="001E5273" w:rsidP="008C71F3">
            <w:pPr>
              <w:tabs>
                <w:tab w:val="left" w:pos="356"/>
                <w:tab w:val="left" w:pos="9248"/>
              </w:tabs>
              <w:rPr>
                <w:rFonts w:ascii="Arial" w:hAnsi="Arial" w:cs="Arial"/>
                <w:bCs/>
              </w:rPr>
            </w:pPr>
            <w:r>
              <w:rPr>
                <w:rFonts w:ascii="Arial" w:hAnsi="Arial" w:cs="Arial"/>
                <w:bCs/>
              </w:rPr>
              <w:t xml:space="preserve">Students discussed feedback received via CAFS and </w:t>
            </w:r>
            <w:r w:rsidR="007D7A72">
              <w:rPr>
                <w:rFonts w:ascii="Arial" w:hAnsi="Arial" w:cs="Arial"/>
                <w:bCs/>
              </w:rPr>
              <w:t>it</w:t>
            </w:r>
            <w:r w:rsidR="00B064B6">
              <w:rPr>
                <w:rFonts w:ascii="Arial" w:hAnsi="Arial" w:cs="Arial"/>
                <w:bCs/>
              </w:rPr>
              <w:t xml:space="preserve"> was </w:t>
            </w:r>
            <w:r w:rsidR="007D7A72">
              <w:rPr>
                <w:rFonts w:ascii="Arial" w:hAnsi="Arial" w:cs="Arial"/>
                <w:bCs/>
              </w:rPr>
              <w:t>clear</w:t>
            </w:r>
            <w:r w:rsidR="00B064B6">
              <w:rPr>
                <w:rFonts w:ascii="Arial" w:hAnsi="Arial" w:cs="Arial"/>
                <w:bCs/>
              </w:rPr>
              <w:t xml:space="preserve"> that any feedback included on </w:t>
            </w:r>
            <w:r w:rsidR="007D7A72">
              <w:rPr>
                <w:rFonts w:ascii="Arial" w:hAnsi="Arial" w:cs="Arial"/>
                <w:bCs/>
              </w:rPr>
              <w:t xml:space="preserve">the </w:t>
            </w:r>
            <w:r w:rsidR="00B064B6">
              <w:rPr>
                <w:rFonts w:ascii="Arial" w:hAnsi="Arial" w:cs="Arial"/>
                <w:bCs/>
              </w:rPr>
              <w:t>system did not come as a surprise</w:t>
            </w:r>
            <w:r w:rsidR="007D7A72">
              <w:rPr>
                <w:rFonts w:ascii="Arial" w:hAnsi="Arial" w:cs="Arial"/>
                <w:bCs/>
              </w:rPr>
              <w:t>,</w:t>
            </w:r>
            <w:r w:rsidR="00B064B6">
              <w:rPr>
                <w:rFonts w:ascii="Arial" w:hAnsi="Arial" w:cs="Arial"/>
                <w:bCs/>
              </w:rPr>
              <w:t xml:space="preserve"> as it is always discussed verbally on clinic, allowing opportunities for students to make any changes </w:t>
            </w:r>
            <w:r w:rsidR="00C6190C">
              <w:rPr>
                <w:rFonts w:ascii="Arial" w:hAnsi="Arial" w:cs="Arial"/>
                <w:bCs/>
              </w:rPr>
              <w:t>because</w:t>
            </w:r>
            <w:r w:rsidR="00B064B6">
              <w:rPr>
                <w:rFonts w:ascii="Arial" w:hAnsi="Arial" w:cs="Arial"/>
                <w:bCs/>
              </w:rPr>
              <w:t xml:space="preserve"> of that feedback in a timely manner.</w:t>
            </w:r>
            <w:r w:rsidR="00E00E0E">
              <w:rPr>
                <w:rFonts w:ascii="Arial" w:hAnsi="Arial" w:cs="Arial"/>
                <w:bCs/>
              </w:rPr>
              <w:t xml:space="preserve"> Students must reflect on each clinical encounter within 7 days and </w:t>
            </w:r>
            <w:r w:rsidR="003E61DE">
              <w:rPr>
                <w:rFonts w:ascii="Arial" w:hAnsi="Arial" w:cs="Arial"/>
                <w:bCs/>
              </w:rPr>
              <w:t xml:space="preserve">if they do not do this, the account is </w:t>
            </w:r>
            <w:r w:rsidR="00FE078D">
              <w:rPr>
                <w:rFonts w:ascii="Arial" w:hAnsi="Arial" w:cs="Arial"/>
                <w:bCs/>
              </w:rPr>
              <w:t>locked,</w:t>
            </w:r>
            <w:r w:rsidR="003E61DE">
              <w:rPr>
                <w:rFonts w:ascii="Arial" w:hAnsi="Arial" w:cs="Arial"/>
                <w:bCs/>
              </w:rPr>
              <w:t xml:space="preserve"> and the programme team are notified.</w:t>
            </w:r>
            <w:r w:rsidR="00D61015">
              <w:rPr>
                <w:rFonts w:ascii="Arial" w:hAnsi="Arial" w:cs="Arial"/>
                <w:bCs/>
              </w:rPr>
              <w:t xml:space="preserve"> Students are graded against </w:t>
            </w:r>
            <w:r w:rsidR="00B00410">
              <w:rPr>
                <w:rFonts w:ascii="Arial" w:hAnsi="Arial" w:cs="Arial"/>
                <w:bCs/>
              </w:rPr>
              <w:t>professionalism,</w:t>
            </w:r>
            <w:r w:rsidR="00D61015">
              <w:rPr>
                <w:rFonts w:ascii="Arial" w:hAnsi="Arial" w:cs="Arial"/>
                <w:bCs/>
              </w:rPr>
              <w:t xml:space="preserve"> and this is monitored through CAFs for repeated occurrences</w:t>
            </w:r>
            <w:r w:rsidR="00C6190C">
              <w:rPr>
                <w:rFonts w:ascii="Arial" w:hAnsi="Arial" w:cs="Arial"/>
                <w:bCs/>
              </w:rPr>
              <w:t xml:space="preserve"> and patterns of behaviour</w:t>
            </w:r>
            <w:r w:rsidR="00D61015">
              <w:rPr>
                <w:rFonts w:ascii="Arial" w:hAnsi="Arial" w:cs="Arial"/>
                <w:bCs/>
              </w:rPr>
              <w:t>.</w:t>
            </w:r>
          </w:p>
          <w:p w14:paraId="3604BFFB" w14:textId="77777777" w:rsidR="00D61015" w:rsidRDefault="00D61015" w:rsidP="008C71F3">
            <w:pPr>
              <w:tabs>
                <w:tab w:val="left" w:pos="356"/>
                <w:tab w:val="left" w:pos="9248"/>
              </w:tabs>
              <w:rPr>
                <w:rFonts w:ascii="Arial" w:hAnsi="Arial" w:cs="Arial"/>
                <w:bCs/>
              </w:rPr>
            </w:pPr>
          </w:p>
          <w:p w14:paraId="3F001C19" w14:textId="7C2A5A05" w:rsidR="0092708C" w:rsidRDefault="00043B0E" w:rsidP="008C71F3">
            <w:pPr>
              <w:tabs>
                <w:tab w:val="left" w:pos="356"/>
                <w:tab w:val="left" w:pos="9248"/>
              </w:tabs>
              <w:rPr>
                <w:rFonts w:ascii="Arial" w:hAnsi="Arial" w:cs="Arial"/>
                <w:bCs/>
                <w:iCs/>
              </w:rPr>
            </w:pPr>
            <w:r>
              <w:rPr>
                <w:rFonts w:ascii="Arial" w:hAnsi="Arial" w:cs="Arial"/>
                <w:bCs/>
                <w:iCs/>
              </w:rPr>
              <w:lastRenderedPageBreak/>
              <w:t>Students’</w:t>
            </w:r>
            <w:r w:rsidR="00B00410">
              <w:rPr>
                <w:rFonts w:ascii="Arial" w:hAnsi="Arial" w:cs="Arial"/>
                <w:bCs/>
                <w:iCs/>
              </w:rPr>
              <w:t xml:space="preserve"> progression is signed off at the end of each year. </w:t>
            </w:r>
            <w:r>
              <w:rPr>
                <w:rFonts w:ascii="Arial" w:hAnsi="Arial" w:cs="Arial"/>
                <w:bCs/>
                <w:iCs/>
              </w:rPr>
              <w:t>All elements are reviewed, and students must be meeting all requirements before progress</w:t>
            </w:r>
            <w:r w:rsidR="00F30219">
              <w:rPr>
                <w:rFonts w:ascii="Arial" w:hAnsi="Arial" w:cs="Arial"/>
                <w:bCs/>
                <w:iCs/>
              </w:rPr>
              <w:t>ing</w:t>
            </w:r>
            <w:r>
              <w:rPr>
                <w:rFonts w:ascii="Arial" w:hAnsi="Arial" w:cs="Arial"/>
                <w:bCs/>
                <w:iCs/>
              </w:rPr>
              <w:t xml:space="preserve"> to the following year. There is also a robust sign-up to finals process for those students who are due to complete the programme. </w:t>
            </w:r>
          </w:p>
          <w:p w14:paraId="27399CA1" w14:textId="77777777" w:rsidR="00043B0E" w:rsidRDefault="00043B0E" w:rsidP="008C71F3">
            <w:pPr>
              <w:tabs>
                <w:tab w:val="left" w:pos="356"/>
                <w:tab w:val="left" w:pos="9248"/>
              </w:tabs>
              <w:rPr>
                <w:rFonts w:ascii="Arial" w:hAnsi="Arial" w:cs="Arial"/>
                <w:bCs/>
                <w:iCs/>
              </w:rPr>
            </w:pPr>
          </w:p>
          <w:p w14:paraId="29851ECC" w14:textId="4806E5A1" w:rsidR="00043B0E" w:rsidRDefault="00043B0E" w:rsidP="008C71F3">
            <w:pPr>
              <w:tabs>
                <w:tab w:val="left" w:pos="356"/>
                <w:tab w:val="left" w:pos="9248"/>
              </w:tabs>
              <w:rPr>
                <w:rFonts w:ascii="Arial" w:hAnsi="Arial" w:cs="Arial"/>
                <w:bCs/>
                <w:iCs/>
              </w:rPr>
            </w:pPr>
            <w:r>
              <w:rPr>
                <w:rFonts w:ascii="Arial" w:hAnsi="Arial" w:cs="Arial"/>
                <w:bCs/>
                <w:iCs/>
              </w:rPr>
              <w:t>Staff during the inspection assured the panel that if students are not meeting the required standard to progress, they would utilise an education plan or consider repeating a year where necessary.</w:t>
            </w:r>
          </w:p>
          <w:p w14:paraId="4DDAC828" w14:textId="77777777" w:rsidR="00E02B03" w:rsidRDefault="00E02B03" w:rsidP="008C71F3">
            <w:pPr>
              <w:tabs>
                <w:tab w:val="left" w:pos="356"/>
                <w:tab w:val="left" w:pos="9248"/>
              </w:tabs>
              <w:rPr>
                <w:rFonts w:ascii="Arial" w:hAnsi="Arial" w:cs="Arial"/>
                <w:bCs/>
                <w:iCs/>
              </w:rPr>
            </w:pPr>
          </w:p>
          <w:p w14:paraId="7C83456A" w14:textId="5774194D" w:rsidR="00C6190C" w:rsidRPr="007A45A8" w:rsidRDefault="00C6190C" w:rsidP="00C6190C">
            <w:pPr>
              <w:tabs>
                <w:tab w:val="left" w:pos="720"/>
                <w:tab w:val="left" w:pos="9248"/>
              </w:tabs>
              <w:ind w:right="34"/>
              <w:rPr>
                <w:rFonts w:ascii="Arial" w:hAnsi="Arial" w:cs="Arial"/>
              </w:rPr>
            </w:pPr>
            <w:r>
              <w:rPr>
                <w:rFonts w:ascii="Arial" w:hAnsi="Arial" w:cs="Arial"/>
              </w:rPr>
              <w:t xml:space="preserve">The panel was assured by the information provided prior to the inspection and further by the information shared during the inspection that </w:t>
            </w:r>
            <w:r w:rsidR="00507FBA">
              <w:rPr>
                <w:rFonts w:ascii="Arial" w:hAnsi="Arial" w:cs="Arial"/>
              </w:rPr>
              <w:t>students demonstrate attainment across the full range of learning outcomes</w:t>
            </w:r>
            <w:r>
              <w:rPr>
                <w:rFonts w:ascii="Arial" w:hAnsi="Arial" w:cs="Arial"/>
              </w:rPr>
              <w:t xml:space="preserve"> and that this requirement is </w:t>
            </w:r>
            <w:r>
              <w:rPr>
                <w:rFonts w:ascii="Arial" w:hAnsi="Arial" w:cs="Arial"/>
                <w:b/>
                <w:bCs/>
              </w:rPr>
              <w:t>Met.</w:t>
            </w:r>
          </w:p>
          <w:p w14:paraId="538FA5AD" w14:textId="77777777" w:rsidR="0092708C" w:rsidRPr="003F5F16" w:rsidRDefault="0092708C" w:rsidP="008C71F3">
            <w:pPr>
              <w:tabs>
                <w:tab w:val="left" w:pos="356"/>
                <w:tab w:val="left" w:pos="9248"/>
              </w:tabs>
              <w:rPr>
                <w:rFonts w:ascii="Arial" w:hAnsi="Arial" w:cs="Arial"/>
                <w:bCs/>
                <w:iCs/>
              </w:rPr>
            </w:pPr>
          </w:p>
          <w:p w14:paraId="075191BB" w14:textId="3D98BF00" w:rsidR="00E2148E" w:rsidRPr="0084743E" w:rsidRDefault="00E2148E" w:rsidP="008C71F3">
            <w:pPr>
              <w:tabs>
                <w:tab w:val="left" w:pos="356"/>
                <w:tab w:val="left" w:pos="9248"/>
              </w:tabs>
              <w:rPr>
                <w:rFonts w:ascii="Arial" w:hAnsi="Arial" w:cs="Arial"/>
              </w:rPr>
            </w:pPr>
          </w:p>
          <w:p w14:paraId="2BC30CD1" w14:textId="0406F1B4"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 xml:space="preserve">Requirement 14: The provider must have in place management systems to plan, monitor and centrally record the assessment of students, including the monitoring of clinical and/or technical experience, throughout the programme against each of the learning outcomes. </w:t>
            </w:r>
            <w:r w:rsidRPr="00CE1FEA">
              <w:rPr>
                <w:rFonts w:ascii="Arial" w:eastAsia="Calibri" w:hAnsi="Arial" w:cs="Arial"/>
                <w:b/>
                <w:i/>
                <w:color w:val="7F7F7F" w:themeColor="text1" w:themeTint="80"/>
              </w:rPr>
              <w:t>(</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74CF75A1" w14:textId="77777777" w:rsidR="00E2148E" w:rsidRPr="0084743E" w:rsidRDefault="00E2148E" w:rsidP="008C71F3">
            <w:pPr>
              <w:tabs>
                <w:tab w:val="left" w:pos="720"/>
                <w:tab w:val="left" w:pos="9248"/>
              </w:tabs>
              <w:rPr>
                <w:rFonts w:ascii="Arial" w:eastAsia="Calibri" w:hAnsi="Arial" w:cs="Arial"/>
                <w:color w:val="000000" w:themeColor="text1"/>
              </w:rPr>
            </w:pPr>
          </w:p>
          <w:p w14:paraId="24ADC03A" w14:textId="10571FEB" w:rsidR="00E2148E" w:rsidRPr="0084743E" w:rsidRDefault="00E2148E" w:rsidP="008C71F3">
            <w:pPr>
              <w:tabs>
                <w:tab w:val="left" w:pos="720"/>
                <w:tab w:val="left" w:pos="9248"/>
              </w:tabs>
              <w:rPr>
                <w:rFonts w:ascii="Helvetica" w:hAnsi="Helvetica" w:cs="Helvetica"/>
                <w:color w:val="000000" w:themeColor="text1"/>
              </w:rPr>
            </w:pPr>
            <w:r w:rsidRPr="0084743E">
              <w:rPr>
                <w:rFonts w:ascii="Arial" w:eastAsia="Calibri" w:hAnsi="Arial" w:cs="Arial"/>
                <w:b/>
                <w:color w:val="000000" w:themeColor="text1"/>
              </w:rPr>
              <w:t xml:space="preserve">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 </w:t>
            </w:r>
            <w:r w:rsidRPr="0084743E">
              <w:rPr>
                <w:rFonts w:ascii="Arial" w:eastAsia="Calibri" w:hAnsi="Arial" w:cs="Arial"/>
                <w:b/>
                <w:i/>
                <w:color w:val="000000" w:themeColor="text1"/>
              </w:rPr>
              <w:t>(</w:t>
            </w:r>
            <w:r w:rsidRPr="00B1044C">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38B4315C" w14:textId="77777777" w:rsidR="00E2148E" w:rsidRDefault="00E2148E" w:rsidP="008C71F3">
            <w:pPr>
              <w:tabs>
                <w:tab w:val="left" w:pos="720"/>
                <w:tab w:val="left" w:pos="9248"/>
              </w:tabs>
              <w:rPr>
                <w:rFonts w:ascii="Helvetica" w:hAnsi="Helvetica" w:cs="Helvetica"/>
                <w:color w:val="000000" w:themeColor="text1"/>
              </w:rPr>
            </w:pPr>
          </w:p>
          <w:p w14:paraId="665884DE" w14:textId="61B6E855" w:rsidR="007E5728" w:rsidRDefault="0060624E"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As outlined under Requirement 1</w:t>
            </w:r>
            <w:r w:rsidR="002A5082">
              <w:rPr>
                <w:rFonts w:ascii="Helvetica" w:hAnsi="Helvetica" w:cs="Helvetica"/>
                <w:color w:val="000000" w:themeColor="text1"/>
              </w:rPr>
              <w:t xml:space="preserve">3, </w:t>
            </w:r>
            <w:r w:rsidR="007D501E">
              <w:rPr>
                <w:rFonts w:ascii="Helvetica" w:hAnsi="Helvetica" w:cs="Helvetica"/>
                <w:color w:val="000000" w:themeColor="text1"/>
              </w:rPr>
              <w:t xml:space="preserve">longitudinal patient care </w:t>
            </w:r>
            <w:r w:rsidR="00134CA4">
              <w:rPr>
                <w:rFonts w:ascii="Helvetica" w:hAnsi="Helvetica" w:cs="Helvetica"/>
                <w:color w:val="000000" w:themeColor="text1"/>
              </w:rPr>
              <w:t xml:space="preserve">underpins the </w:t>
            </w:r>
            <w:r w:rsidR="008621CD">
              <w:rPr>
                <w:rFonts w:ascii="Helvetica" w:hAnsi="Helvetica" w:cs="Helvetica"/>
                <w:color w:val="000000" w:themeColor="text1"/>
              </w:rPr>
              <w:t xml:space="preserve">clinical experience students obtain. </w:t>
            </w:r>
            <w:r w:rsidR="00304D24">
              <w:rPr>
                <w:rFonts w:ascii="Helvetica" w:hAnsi="Helvetica" w:cs="Helvetica"/>
                <w:color w:val="000000" w:themeColor="text1"/>
              </w:rPr>
              <w:t xml:space="preserve">Students begin clinical practice at the end of year 2 and see the same patients </w:t>
            </w:r>
            <w:r w:rsidR="007E5728">
              <w:rPr>
                <w:rFonts w:ascii="Helvetica" w:hAnsi="Helvetica" w:cs="Helvetica"/>
                <w:color w:val="000000" w:themeColor="text1"/>
              </w:rPr>
              <w:t>throughout the duration of the programme.</w:t>
            </w:r>
            <w:r w:rsidR="00B868AD">
              <w:rPr>
                <w:rFonts w:ascii="Helvetica" w:hAnsi="Helvetica" w:cs="Helvetica"/>
                <w:color w:val="000000" w:themeColor="text1"/>
              </w:rPr>
              <w:t xml:space="preserve"> </w:t>
            </w:r>
            <w:r w:rsidR="00946ADC">
              <w:rPr>
                <w:rFonts w:ascii="Helvetica" w:hAnsi="Helvetica" w:cs="Helvetica"/>
                <w:color w:val="000000" w:themeColor="text1"/>
              </w:rPr>
              <w:t xml:space="preserve">The </w:t>
            </w:r>
            <w:proofErr w:type="gramStart"/>
            <w:r w:rsidR="00013A4A">
              <w:rPr>
                <w:rFonts w:ascii="Helvetica" w:hAnsi="Helvetica" w:cs="Helvetica"/>
                <w:color w:val="000000" w:themeColor="text1"/>
              </w:rPr>
              <w:t>S</w:t>
            </w:r>
            <w:r w:rsidR="00946ADC">
              <w:rPr>
                <w:rFonts w:ascii="Helvetica" w:hAnsi="Helvetica" w:cs="Helvetica"/>
                <w:color w:val="000000" w:themeColor="text1"/>
              </w:rPr>
              <w:t>chool</w:t>
            </w:r>
            <w:proofErr w:type="gramEnd"/>
            <w:r w:rsidR="00946ADC">
              <w:rPr>
                <w:rFonts w:ascii="Helvetica" w:hAnsi="Helvetica" w:cs="Helvetica"/>
                <w:color w:val="000000" w:themeColor="text1"/>
              </w:rPr>
              <w:t xml:space="preserve"> work </w:t>
            </w:r>
            <w:r w:rsidR="00642CBA">
              <w:rPr>
                <w:rFonts w:ascii="Helvetica" w:hAnsi="Helvetica" w:cs="Helvetica"/>
                <w:color w:val="000000" w:themeColor="text1"/>
              </w:rPr>
              <w:t>collaboratively</w:t>
            </w:r>
            <w:r w:rsidR="00946ADC">
              <w:rPr>
                <w:rFonts w:ascii="Helvetica" w:hAnsi="Helvetica" w:cs="Helvetica"/>
                <w:color w:val="000000" w:themeColor="text1"/>
              </w:rPr>
              <w:t xml:space="preserve"> with the NHS </w:t>
            </w:r>
            <w:r w:rsidR="00642CBA">
              <w:rPr>
                <w:rFonts w:ascii="Helvetica" w:hAnsi="Helvetica" w:cs="Helvetica"/>
                <w:color w:val="000000" w:themeColor="text1"/>
              </w:rPr>
              <w:t>partners</w:t>
            </w:r>
            <w:r w:rsidR="00946ADC">
              <w:rPr>
                <w:rFonts w:ascii="Helvetica" w:hAnsi="Helvetica" w:cs="Helvetica"/>
                <w:color w:val="000000" w:themeColor="text1"/>
              </w:rPr>
              <w:t xml:space="preserve"> to ensure an appropriate patient supply is maintained and whilst speaking to staff, it was eviden</w:t>
            </w:r>
            <w:r w:rsidR="00642CBA">
              <w:rPr>
                <w:rFonts w:ascii="Helvetica" w:hAnsi="Helvetica" w:cs="Helvetica"/>
                <w:color w:val="000000" w:themeColor="text1"/>
              </w:rPr>
              <w:t>t that these patients are appropriately triaged to assess for student suitability.</w:t>
            </w:r>
            <w:r w:rsidR="00CB3AF5">
              <w:rPr>
                <w:rFonts w:ascii="Helvetica" w:hAnsi="Helvetica" w:cs="Helvetica"/>
                <w:color w:val="000000" w:themeColor="text1"/>
              </w:rPr>
              <w:t xml:space="preserve"> If students approaching the end of the programme require specific experience, </w:t>
            </w:r>
            <w:r w:rsidR="00CE6554">
              <w:rPr>
                <w:rFonts w:ascii="Helvetica" w:hAnsi="Helvetica" w:cs="Helvetica"/>
                <w:color w:val="000000" w:themeColor="text1"/>
              </w:rPr>
              <w:t>additional patients can be requested.</w:t>
            </w:r>
          </w:p>
          <w:p w14:paraId="05450BB5" w14:textId="77777777" w:rsidR="007E5728" w:rsidRDefault="007E5728" w:rsidP="008C71F3">
            <w:pPr>
              <w:tabs>
                <w:tab w:val="left" w:pos="720"/>
                <w:tab w:val="left" w:pos="9248"/>
              </w:tabs>
              <w:rPr>
                <w:rFonts w:ascii="Helvetica" w:hAnsi="Helvetica" w:cs="Helvetica"/>
                <w:color w:val="000000" w:themeColor="text1"/>
              </w:rPr>
            </w:pPr>
          </w:p>
          <w:p w14:paraId="2C417D84" w14:textId="7E820B78" w:rsidR="00CC360E" w:rsidRDefault="007E5728"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As well as access to patients</w:t>
            </w:r>
            <w:r w:rsidR="009B6D67">
              <w:rPr>
                <w:rFonts w:ascii="Helvetica" w:hAnsi="Helvetica" w:cs="Helvetica"/>
                <w:color w:val="000000" w:themeColor="text1"/>
              </w:rPr>
              <w:t xml:space="preserve"> of varying complexities</w:t>
            </w:r>
            <w:r>
              <w:rPr>
                <w:rFonts w:ascii="Helvetica" w:hAnsi="Helvetica" w:cs="Helvetica"/>
                <w:color w:val="000000" w:themeColor="text1"/>
              </w:rPr>
              <w:t xml:space="preserve"> within the hospital, students are exposed to adult and paediatric patients at outreach centres and</w:t>
            </w:r>
            <w:r w:rsidR="00CC360E">
              <w:rPr>
                <w:rFonts w:ascii="Helvetica" w:hAnsi="Helvetica" w:cs="Helvetica"/>
                <w:color w:val="000000" w:themeColor="text1"/>
              </w:rPr>
              <w:t xml:space="preserve"> are also exposed to specialty areas of dentistry.</w:t>
            </w:r>
            <w:r w:rsidR="00642CBA">
              <w:rPr>
                <w:rFonts w:ascii="Helvetica" w:hAnsi="Helvetica" w:cs="Helvetica"/>
                <w:color w:val="000000" w:themeColor="text1"/>
              </w:rPr>
              <w:t xml:space="preserve"> Outreach staff work </w:t>
            </w:r>
            <w:r w:rsidR="004D4A83">
              <w:rPr>
                <w:rFonts w:ascii="Helvetica" w:hAnsi="Helvetica" w:cs="Helvetica"/>
                <w:color w:val="000000" w:themeColor="text1"/>
              </w:rPr>
              <w:t xml:space="preserve">closely with students to ensure that </w:t>
            </w:r>
            <w:r w:rsidR="00675DD8">
              <w:rPr>
                <w:rFonts w:ascii="Helvetica" w:hAnsi="Helvetica" w:cs="Helvetica"/>
                <w:color w:val="000000" w:themeColor="text1"/>
              </w:rPr>
              <w:t xml:space="preserve">the patients they see are developing their skills and </w:t>
            </w:r>
            <w:r w:rsidR="00510633">
              <w:rPr>
                <w:rFonts w:ascii="Helvetica" w:hAnsi="Helvetica" w:cs="Helvetica"/>
                <w:color w:val="000000" w:themeColor="text1"/>
              </w:rPr>
              <w:t>close any gaps in relation to any outstanding competencies</w:t>
            </w:r>
            <w:r w:rsidR="006C599E">
              <w:rPr>
                <w:rFonts w:ascii="Helvetica" w:hAnsi="Helvetica" w:cs="Helvetica"/>
                <w:color w:val="000000" w:themeColor="text1"/>
              </w:rPr>
              <w:t>.</w:t>
            </w:r>
          </w:p>
          <w:p w14:paraId="24CEB6E7" w14:textId="77777777" w:rsidR="00CC360E" w:rsidRDefault="00CC360E" w:rsidP="008C71F3">
            <w:pPr>
              <w:tabs>
                <w:tab w:val="left" w:pos="720"/>
                <w:tab w:val="left" w:pos="9248"/>
              </w:tabs>
              <w:rPr>
                <w:rFonts w:ascii="Helvetica" w:hAnsi="Helvetica" w:cs="Helvetica"/>
                <w:color w:val="000000" w:themeColor="text1"/>
              </w:rPr>
            </w:pPr>
          </w:p>
          <w:p w14:paraId="5B6401C3" w14:textId="6B627492" w:rsidR="0060624E" w:rsidRDefault="00484BB2"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Gateway compe</w:t>
            </w:r>
            <w:r w:rsidR="00C3538D">
              <w:rPr>
                <w:rFonts w:ascii="Helvetica" w:hAnsi="Helvetica" w:cs="Helvetica"/>
                <w:color w:val="000000" w:themeColor="text1"/>
              </w:rPr>
              <w:t xml:space="preserve">tencies are completed at various points during the programme </w:t>
            </w:r>
            <w:r w:rsidR="00CA0E54">
              <w:rPr>
                <w:rFonts w:ascii="Helvetica" w:hAnsi="Helvetica" w:cs="Helvetica"/>
                <w:color w:val="000000" w:themeColor="text1"/>
              </w:rPr>
              <w:t xml:space="preserve">which are progressional, limiting clinical activity until the competency has been achieved. </w:t>
            </w:r>
            <w:r w:rsidR="004A1E12">
              <w:rPr>
                <w:rFonts w:ascii="Helvetica" w:hAnsi="Helvetica" w:cs="Helvetica"/>
                <w:color w:val="000000" w:themeColor="text1"/>
              </w:rPr>
              <w:t>There are</w:t>
            </w:r>
            <w:r w:rsidR="006C599E">
              <w:rPr>
                <w:rFonts w:ascii="Helvetica" w:hAnsi="Helvetica" w:cs="Helvetica"/>
                <w:color w:val="000000" w:themeColor="text1"/>
              </w:rPr>
              <w:t xml:space="preserve"> </w:t>
            </w:r>
            <w:r w:rsidR="00E33DA0">
              <w:rPr>
                <w:rFonts w:ascii="Helvetica" w:hAnsi="Helvetica" w:cs="Helvetica"/>
                <w:color w:val="000000" w:themeColor="text1"/>
              </w:rPr>
              <w:t>also competencies</w:t>
            </w:r>
            <w:r w:rsidR="003C4874">
              <w:rPr>
                <w:rFonts w:ascii="Helvetica" w:hAnsi="Helvetica" w:cs="Helvetica"/>
                <w:color w:val="000000" w:themeColor="text1"/>
              </w:rPr>
              <w:t xml:space="preserve"> required </w:t>
            </w:r>
            <w:r w:rsidR="0029495F">
              <w:rPr>
                <w:rFonts w:ascii="Helvetica" w:hAnsi="Helvetica" w:cs="Helvetica"/>
                <w:color w:val="000000" w:themeColor="text1"/>
              </w:rPr>
              <w:t>for entry into finals</w:t>
            </w:r>
            <w:r w:rsidR="007866A7">
              <w:rPr>
                <w:rFonts w:ascii="Helvetica" w:hAnsi="Helvetica" w:cs="Helvetica"/>
                <w:color w:val="000000" w:themeColor="text1"/>
              </w:rPr>
              <w:t xml:space="preserve">. Progress boards </w:t>
            </w:r>
            <w:r w:rsidR="00C54395">
              <w:rPr>
                <w:rFonts w:ascii="Helvetica" w:hAnsi="Helvetica" w:cs="Helvetica"/>
                <w:color w:val="000000" w:themeColor="text1"/>
              </w:rPr>
              <w:t xml:space="preserve">are also held at various points throughout the year. </w:t>
            </w:r>
            <w:r w:rsidR="008621CD">
              <w:rPr>
                <w:rFonts w:ascii="Helvetica" w:hAnsi="Helvetica" w:cs="Helvetica"/>
                <w:color w:val="000000" w:themeColor="text1"/>
              </w:rPr>
              <w:t xml:space="preserve"> </w:t>
            </w:r>
            <w:r w:rsidR="006C599E">
              <w:rPr>
                <w:rFonts w:ascii="Helvetica" w:hAnsi="Helvetica" w:cs="Helvetica"/>
                <w:color w:val="000000" w:themeColor="text1"/>
              </w:rPr>
              <w:t xml:space="preserve">Competencies are completed both within the hospital and at outreach and the assessment is aligned </w:t>
            </w:r>
            <w:r w:rsidR="005245F1">
              <w:rPr>
                <w:rFonts w:ascii="Helvetica" w:hAnsi="Helvetica" w:cs="Helvetica"/>
                <w:color w:val="000000" w:themeColor="text1"/>
              </w:rPr>
              <w:t>and recorded via CAFS.</w:t>
            </w:r>
          </w:p>
          <w:p w14:paraId="31858FC7" w14:textId="77777777" w:rsidR="008C0B06" w:rsidRDefault="008C0B06" w:rsidP="008C71F3">
            <w:pPr>
              <w:tabs>
                <w:tab w:val="left" w:pos="720"/>
                <w:tab w:val="left" w:pos="9248"/>
              </w:tabs>
              <w:rPr>
                <w:rFonts w:ascii="Helvetica" w:hAnsi="Helvetica" w:cs="Helvetica"/>
                <w:color w:val="000000" w:themeColor="text1"/>
              </w:rPr>
            </w:pPr>
          </w:p>
          <w:p w14:paraId="78C1F89A" w14:textId="1B29684E" w:rsidR="008C0B06" w:rsidRDefault="008C0B06"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Students are exposed to CAFS in year 1 and </w:t>
            </w:r>
            <w:r w:rsidR="00642C0F">
              <w:rPr>
                <w:rFonts w:ascii="Helvetica" w:hAnsi="Helvetica" w:cs="Helvetica"/>
                <w:color w:val="000000" w:themeColor="text1"/>
              </w:rPr>
              <w:t xml:space="preserve">are confident in logging each clinical </w:t>
            </w:r>
            <w:r w:rsidR="00507FBA">
              <w:rPr>
                <w:rFonts w:ascii="Helvetica" w:hAnsi="Helvetica" w:cs="Helvetica"/>
                <w:color w:val="000000" w:themeColor="text1"/>
              </w:rPr>
              <w:t>encounter</w:t>
            </w:r>
            <w:r w:rsidR="00BC7C2A">
              <w:rPr>
                <w:rFonts w:ascii="Helvetica" w:hAnsi="Helvetica" w:cs="Helvetica"/>
                <w:color w:val="000000" w:themeColor="text1"/>
              </w:rPr>
              <w:t xml:space="preserve">. </w:t>
            </w:r>
            <w:r w:rsidR="00EC32CD">
              <w:rPr>
                <w:rFonts w:ascii="Helvetica" w:hAnsi="Helvetica" w:cs="Helvetica"/>
                <w:color w:val="000000" w:themeColor="text1"/>
              </w:rPr>
              <w:t xml:space="preserve">CAFS is being utilised effectively </w:t>
            </w:r>
            <w:r w:rsidR="0091124E">
              <w:rPr>
                <w:rFonts w:ascii="Helvetica" w:hAnsi="Helvetica" w:cs="Helvetica"/>
                <w:color w:val="000000" w:themeColor="text1"/>
              </w:rPr>
              <w:t xml:space="preserve">which ensures close monitoring of student progress. </w:t>
            </w:r>
            <w:r w:rsidR="00573605">
              <w:rPr>
                <w:rFonts w:ascii="Helvetica" w:hAnsi="Helvetica" w:cs="Helvetica"/>
                <w:color w:val="000000" w:themeColor="text1"/>
              </w:rPr>
              <w:t>Students attend</w:t>
            </w:r>
            <w:r w:rsidR="007859A5">
              <w:rPr>
                <w:rFonts w:ascii="Helvetica" w:hAnsi="Helvetica" w:cs="Helvetica"/>
                <w:color w:val="000000" w:themeColor="text1"/>
              </w:rPr>
              <w:t xml:space="preserve"> scheduled</w:t>
            </w:r>
            <w:r w:rsidR="00573605">
              <w:rPr>
                <w:rFonts w:ascii="Helvetica" w:hAnsi="Helvetica" w:cs="Helvetica"/>
                <w:color w:val="000000" w:themeColor="text1"/>
              </w:rPr>
              <w:t xml:space="preserve"> </w:t>
            </w:r>
            <w:r w:rsidR="00507FBA">
              <w:rPr>
                <w:rFonts w:ascii="Helvetica" w:hAnsi="Helvetica" w:cs="Helvetica"/>
                <w:color w:val="000000" w:themeColor="text1"/>
              </w:rPr>
              <w:t>h</w:t>
            </w:r>
            <w:r w:rsidR="00573605">
              <w:rPr>
                <w:rFonts w:ascii="Helvetica" w:hAnsi="Helvetica" w:cs="Helvetica"/>
                <w:color w:val="000000" w:themeColor="text1"/>
              </w:rPr>
              <w:t xml:space="preserve">ead of </w:t>
            </w:r>
            <w:r w:rsidR="00507FBA">
              <w:rPr>
                <w:rFonts w:ascii="Helvetica" w:hAnsi="Helvetica" w:cs="Helvetica"/>
                <w:color w:val="000000" w:themeColor="text1"/>
              </w:rPr>
              <w:t>f</w:t>
            </w:r>
            <w:r w:rsidR="00573605">
              <w:rPr>
                <w:rFonts w:ascii="Helvetica" w:hAnsi="Helvetica" w:cs="Helvetica"/>
                <w:color w:val="000000" w:themeColor="text1"/>
              </w:rPr>
              <w:t xml:space="preserve">irm interviews </w:t>
            </w:r>
            <w:r w:rsidR="007859A5">
              <w:rPr>
                <w:rFonts w:ascii="Helvetica" w:hAnsi="Helvetica" w:cs="Helvetica"/>
                <w:color w:val="000000" w:themeColor="text1"/>
              </w:rPr>
              <w:t>and progress is reviewed. If there are any areas for improvements, this would be discussed. If there is a clinical concern</w:t>
            </w:r>
            <w:r w:rsidR="00DF25F5">
              <w:rPr>
                <w:rFonts w:ascii="Helvetica" w:hAnsi="Helvetica" w:cs="Helvetica"/>
                <w:color w:val="000000" w:themeColor="text1"/>
              </w:rPr>
              <w:t xml:space="preserve">, when this is </w:t>
            </w:r>
            <w:r w:rsidR="009B6D67">
              <w:rPr>
                <w:rFonts w:ascii="Helvetica" w:hAnsi="Helvetica" w:cs="Helvetica"/>
                <w:color w:val="000000" w:themeColor="text1"/>
              </w:rPr>
              <w:t>entered</w:t>
            </w:r>
            <w:r w:rsidR="00DF25F5">
              <w:rPr>
                <w:rFonts w:ascii="Helvetica" w:hAnsi="Helvetica" w:cs="Helvetica"/>
                <w:color w:val="000000" w:themeColor="text1"/>
              </w:rPr>
              <w:t xml:space="preserve"> into CAFS</w:t>
            </w:r>
            <w:r w:rsidR="009B6D67">
              <w:rPr>
                <w:rFonts w:ascii="Helvetica" w:hAnsi="Helvetica" w:cs="Helvetica"/>
                <w:color w:val="000000" w:themeColor="text1"/>
              </w:rPr>
              <w:t xml:space="preserve"> by clinical staff</w:t>
            </w:r>
            <w:r w:rsidR="00DF25F5">
              <w:rPr>
                <w:rFonts w:ascii="Helvetica" w:hAnsi="Helvetica" w:cs="Helvetica"/>
                <w:color w:val="000000" w:themeColor="text1"/>
              </w:rPr>
              <w:t>, an automatic email would be sent to the senior leadership team</w:t>
            </w:r>
            <w:r w:rsidR="002E6007">
              <w:rPr>
                <w:rFonts w:ascii="Helvetica" w:hAnsi="Helvetica" w:cs="Helvetica"/>
                <w:color w:val="000000" w:themeColor="text1"/>
              </w:rPr>
              <w:t xml:space="preserve">, which is then managed </w:t>
            </w:r>
            <w:r w:rsidR="00770FE3">
              <w:rPr>
                <w:rFonts w:ascii="Helvetica" w:hAnsi="Helvetica" w:cs="Helvetica"/>
                <w:color w:val="000000" w:themeColor="text1"/>
              </w:rPr>
              <w:t>appropriately</w:t>
            </w:r>
            <w:r w:rsidR="006802AB">
              <w:rPr>
                <w:rFonts w:ascii="Helvetica" w:hAnsi="Helvetica" w:cs="Helvetica"/>
                <w:color w:val="000000" w:themeColor="text1"/>
              </w:rPr>
              <w:t>. Clinic</w:t>
            </w:r>
            <w:r w:rsidR="002E6007">
              <w:rPr>
                <w:rFonts w:ascii="Helvetica" w:hAnsi="Helvetica" w:cs="Helvetica"/>
                <w:color w:val="000000" w:themeColor="text1"/>
              </w:rPr>
              <w:t xml:space="preserve"> huddles or newsletters are utilised for shared learning</w:t>
            </w:r>
            <w:r w:rsidR="006802AB">
              <w:rPr>
                <w:rFonts w:ascii="Helvetica" w:hAnsi="Helvetica" w:cs="Helvetica"/>
                <w:color w:val="000000" w:themeColor="text1"/>
              </w:rPr>
              <w:t>.</w:t>
            </w:r>
          </w:p>
          <w:p w14:paraId="7512D174" w14:textId="77777777" w:rsidR="006802AB" w:rsidRDefault="006802AB" w:rsidP="008C71F3">
            <w:pPr>
              <w:tabs>
                <w:tab w:val="left" w:pos="720"/>
                <w:tab w:val="left" w:pos="9248"/>
              </w:tabs>
              <w:rPr>
                <w:rFonts w:ascii="Helvetica" w:hAnsi="Helvetica" w:cs="Helvetica"/>
                <w:color w:val="000000" w:themeColor="text1"/>
              </w:rPr>
            </w:pPr>
          </w:p>
          <w:p w14:paraId="35F3BE07" w14:textId="3A342830" w:rsidR="006802AB" w:rsidRDefault="006802AB"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Reflection is </w:t>
            </w:r>
            <w:r w:rsidR="00D21AF4">
              <w:rPr>
                <w:rFonts w:ascii="Helvetica" w:hAnsi="Helvetica" w:cs="Helvetica"/>
                <w:color w:val="000000" w:themeColor="text1"/>
              </w:rPr>
              <w:t xml:space="preserve">embedded in the programme and students complete this after every clinical encounter. There are mechanisms to </w:t>
            </w:r>
            <w:r w:rsidR="00AE1A08">
              <w:rPr>
                <w:rFonts w:ascii="Helvetica" w:hAnsi="Helvetica" w:cs="Helvetica"/>
                <w:color w:val="000000" w:themeColor="text1"/>
              </w:rPr>
              <w:t xml:space="preserve">grade against professionalism if this is not being completed by a student. Students are also taught how to reflect during the programme </w:t>
            </w:r>
            <w:r w:rsidR="00D86E98">
              <w:rPr>
                <w:rFonts w:ascii="Helvetica" w:hAnsi="Helvetica" w:cs="Helvetica"/>
                <w:color w:val="000000" w:themeColor="text1"/>
              </w:rPr>
              <w:t>and encouraged to ensure the reflections continue to be meaningful throughout the programme.</w:t>
            </w:r>
          </w:p>
          <w:p w14:paraId="5B9916FA" w14:textId="77777777" w:rsidR="008D5325" w:rsidRDefault="008D5325" w:rsidP="008C71F3">
            <w:pPr>
              <w:tabs>
                <w:tab w:val="left" w:pos="720"/>
                <w:tab w:val="left" w:pos="9248"/>
              </w:tabs>
              <w:rPr>
                <w:rFonts w:ascii="Helvetica" w:hAnsi="Helvetica" w:cs="Helvetica"/>
                <w:color w:val="000000" w:themeColor="text1"/>
              </w:rPr>
            </w:pPr>
          </w:p>
          <w:p w14:paraId="51BFD868" w14:textId="5996E86D" w:rsidR="008D5325" w:rsidRDefault="008D5325"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During the inspection, students commented that they feel they have access to a </w:t>
            </w:r>
            <w:r w:rsidR="00507FBA">
              <w:rPr>
                <w:rFonts w:ascii="Helvetica" w:hAnsi="Helvetica" w:cs="Helvetica"/>
                <w:color w:val="000000" w:themeColor="text1"/>
              </w:rPr>
              <w:t>range</w:t>
            </w:r>
            <w:r>
              <w:rPr>
                <w:rFonts w:ascii="Helvetica" w:hAnsi="Helvetica" w:cs="Helvetica"/>
                <w:color w:val="000000" w:themeColor="text1"/>
              </w:rPr>
              <w:t xml:space="preserve"> of clinical experience</w:t>
            </w:r>
            <w:r w:rsidR="00174BAB">
              <w:rPr>
                <w:rFonts w:ascii="Helvetica" w:hAnsi="Helvetica" w:cs="Helvetica"/>
                <w:color w:val="000000" w:themeColor="text1"/>
              </w:rPr>
              <w:t xml:space="preserve"> </w:t>
            </w:r>
            <w:r w:rsidR="00923029">
              <w:rPr>
                <w:rFonts w:ascii="Helvetica" w:hAnsi="Helvetica" w:cs="Helvetica"/>
                <w:color w:val="000000" w:themeColor="text1"/>
              </w:rPr>
              <w:t>and are positive regarding providing continuous care to patients.</w:t>
            </w:r>
          </w:p>
          <w:p w14:paraId="0B22991C" w14:textId="77777777" w:rsidR="007C17C3" w:rsidRDefault="007C17C3" w:rsidP="008C71F3">
            <w:pPr>
              <w:tabs>
                <w:tab w:val="left" w:pos="720"/>
                <w:tab w:val="left" w:pos="9248"/>
              </w:tabs>
              <w:rPr>
                <w:rFonts w:ascii="Helvetica" w:hAnsi="Helvetica" w:cs="Helvetica"/>
                <w:color w:val="000000" w:themeColor="text1"/>
              </w:rPr>
            </w:pPr>
          </w:p>
          <w:p w14:paraId="63E172E7" w14:textId="0A7F5BA6" w:rsidR="007C17C3" w:rsidRDefault="007C17C3"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In relation to completion of clinical competencies, the panel was assured that there is adequate exposure to </w:t>
            </w:r>
            <w:r w:rsidR="005C64DF">
              <w:rPr>
                <w:rFonts w:ascii="Helvetica" w:hAnsi="Helvetica" w:cs="Helvetica"/>
                <w:color w:val="000000" w:themeColor="text1"/>
              </w:rPr>
              <w:t xml:space="preserve">treatment and patients with varying complexities. Students have access to phantom heads </w:t>
            </w:r>
            <w:r w:rsidR="00313404">
              <w:rPr>
                <w:rFonts w:ascii="Helvetica" w:hAnsi="Helvetica" w:cs="Helvetica"/>
                <w:color w:val="000000" w:themeColor="text1"/>
              </w:rPr>
              <w:t>to develop skills when patients are not in attendance. Prior to completing a competency, students have had various attempt</w:t>
            </w:r>
            <w:r w:rsidR="00507FBA">
              <w:rPr>
                <w:rFonts w:ascii="Helvetica" w:hAnsi="Helvetica" w:cs="Helvetica"/>
                <w:color w:val="000000" w:themeColor="text1"/>
              </w:rPr>
              <w:t>s</w:t>
            </w:r>
            <w:r w:rsidR="00313404">
              <w:rPr>
                <w:rFonts w:ascii="Helvetica" w:hAnsi="Helvetica" w:cs="Helvetica"/>
                <w:color w:val="000000" w:themeColor="text1"/>
              </w:rPr>
              <w:t xml:space="preserve"> at a </w:t>
            </w:r>
            <w:r w:rsidR="00B23BF8">
              <w:rPr>
                <w:rFonts w:ascii="Helvetica" w:hAnsi="Helvetica" w:cs="Helvetica"/>
                <w:color w:val="000000" w:themeColor="text1"/>
              </w:rPr>
              <w:t>procedure,</w:t>
            </w:r>
            <w:r w:rsidR="00313404">
              <w:rPr>
                <w:rFonts w:ascii="Helvetica" w:hAnsi="Helvetica" w:cs="Helvetica"/>
                <w:color w:val="000000" w:themeColor="text1"/>
              </w:rPr>
              <w:t xml:space="preserve"> and the assessed competency is completed </w:t>
            </w:r>
            <w:r w:rsidR="00B818DE">
              <w:rPr>
                <w:rFonts w:ascii="Helvetica" w:hAnsi="Helvetica" w:cs="Helvetica"/>
                <w:color w:val="000000" w:themeColor="text1"/>
              </w:rPr>
              <w:t xml:space="preserve">in </w:t>
            </w:r>
            <w:proofErr w:type="gramStart"/>
            <w:r w:rsidR="00B818DE">
              <w:rPr>
                <w:rFonts w:ascii="Helvetica" w:hAnsi="Helvetica" w:cs="Helvetica"/>
                <w:color w:val="000000" w:themeColor="text1"/>
              </w:rPr>
              <w:t>full from</w:t>
            </w:r>
            <w:proofErr w:type="gramEnd"/>
            <w:r w:rsidR="00B818DE">
              <w:rPr>
                <w:rFonts w:ascii="Helvetica" w:hAnsi="Helvetica" w:cs="Helvetica"/>
                <w:color w:val="000000" w:themeColor="text1"/>
              </w:rPr>
              <w:t xml:space="preserve"> beginning to end</w:t>
            </w:r>
            <w:r w:rsidR="00507FBA">
              <w:rPr>
                <w:rFonts w:ascii="Helvetica" w:hAnsi="Helvetica" w:cs="Helvetica"/>
                <w:color w:val="000000" w:themeColor="text1"/>
              </w:rPr>
              <w:t>,</w:t>
            </w:r>
            <w:r w:rsidR="00B818DE">
              <w:rPr>
                <w:rFonts w:ascii="Helvetica" w:hAnsi="Helvetica" w:cs="Helvetica"/>
                <w:color w:val="000000" w:themeColor="text1"/>
              </w:rPr>
              <w:t xml:space="preserve"> at a high standard.</w:t>
            </w:r>
          </w:p>
          <w:p w14:paraId="2F463BB0" w14:textId="77777777" w:rsidR="00B818DE" w:rsidRDefault="00B818DE" w:rsidP="008C71F3">
            <w:pPr>
              <w:tabs>
                <w:tab w:val="left" w:pos="720"/>
                <w:tab w:val="left" w:pos="9248"/>
              </w:tabs>
              <w:rPr>
                <w:rFonts w:ascii="Helvetica" w:hAnsi="Helvetica" w:cs="Helvetica"/>
                <w:color w:val="000000" w:themeColor="text1"/>
              </w:rPr>
            </w:pPr>
          </w:p>
          <w:p w14:paraId="468E17BC" w14:textId="699A8FF2" w:rsidR="00B818DE" w:rsidRDefault="0073447D" w:rsidP="008C71F3">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Credit must </w:t>
            </w:r>
            <w:r w:rsidR="00D96503">
              <w:rPr>
                <w:rFonts w:ascii="Helvetica" w:hAnsi="Helvetica" w:cs="Helvetica"/>
                <w:color w:val="000000" w:themeColor="text1"/>
              </w:rPr>
              <w:t xml:space="preserve">be given to the way the </w:t>
            </w:r>
            <w:proofErr w:type="gramStart"/>
            <w:r w:rsidR="00013A4A">
              <w:rPr>
                <w:rFonts w:ascii="Helvetica" w:hAnsi="Helvetica" w:cs="Helvetica"/>
                <w:color w:val="000000" w:themeColor="text1"/>
              </w:rPr>
              <w:t>S</w:t>
            </w:r>
            <w:r w:rsidR="00D96503">
              <w:rPr>
                <w:rFonts w:ascii="Helvetica" w:hAnsi="Helvetica" w:cs="Helvetica"/>
                <w:color w:val="000000" w:themeColor="text1"/>
              </w:rPr>
              <w:t>chool</w:t>
            </w:r>
            <w:proofErr w:type="gramEnd"/>
            <w:r w:rsidR="00D96503">
              <w:rPr>
                <w:rFonts w:ascii="Helvetica" w:hAnsi="Helvetica" w:cs="Helvetica"/>
                <w:color w:val="000000" w:themeColor="text1"/>
              </w:rPr>
              <w:t xml:space="preserve"> show a commitment to preparing their students for </w:t>
            </w:r>
            <w:r w:rsidR="00E57997">
              <w:rPr>
                <w:rFonts w:ascii="Helvetica" w:hAnsi="Helvetica" w:cs="Helvetica"/>
                <w:color w:val="000000" w:themeColor="text1"/>
              </w:rPr>
              <w:t xml:space="preserve">graduation, with former students returning to the </w:t>
            </w:r>
            <w:proofErr w:type="gramStart"/>
            <w:r w:rsidR="00013A4A">
              <w:rPr>
                <w:rFonts w:ascii="Helvetica" w:hAnsi="Helvetica" w:cs="Helvetica"/>
                <w:color w:val="000000" w:themeColor="text1"/>
              </w:rPr>
              <w:t>S</w:t>
            </w:r>
            <w:r w:rsidR="00E57997">
              <w:rPr>
                <w:rFonts w:ascii="Helvetica" w:hAnsi="Helvetica" w:cs="Helvetica"/>
                <w:color w:val="000000" w:themeColor="text1"/>
              </w:rPr>
              <w:t>chool</w:t>
            </w:r>
            <w:proofErr w:type="gramEnd"/>
            <w:r w:rsidR="00E57997">
              <w:rPr>
                <w:rFonts w:ascii="Helvetica" w:hAnsi="Helvetica" w:cs="Helvetica"/>
                <w:color w:val="000000" w:themeColor="text1"/>
              </w:rPr>
              <w:t xml:space="preserve"> annually to discuss with current students their experience</w:t>
            </w:r>
            <w:r w:rsidR="005475C8">
              <w:rPr>
                <w:rFonts w:ascii="Helvetica" w:hAnsi="Helvetica" w:cs="Helvetica"/>
                <w:color w:val="000000" w:themeColor="text1"/>
              </w:rPr>
              <w:t xml:space="preserve"> in areas such as foundation training and working in practice. Th</w:t>
            </w:r>
            <w:r w:rsidR="000C4161">
              <w:rPr>
                <w:rFonts w:ascii="Helvetica" w:hAnsi="Helvetica" w:cs="Helvetica"/>
                <w:color w:val="000000" w:themeColor="text1"/>
              </w:rPr>
              <w:t xml:space="preserve">is is a valuable learning opportunity for students. It was evident, that the current graduating cohort had confidence in their abilities and that they were being prepared </w:t>
            </w:r>
            <w:r w:rsidR="00CA341A">
              <w:rPr>
                <w:rFonts w:ascii="Helvetica" w:hAnsi="Helvetica" w:cs="Helvetica"/>
                <w:color w:val="000000" w:themeColor="text1"/>
              </w:rPr>
              <w:t xml:space="preserve">appropriately to enter foundation training </w:t>
            </w:r>
            <w:r w:rsidR="00A046EA">
              <w:rPr>
                <w:rFonts w:ascii="Helvetica" w:hAnsi="Helvetica" w:cs="Helvetica"/>
                <w:color w:val="000000" w:themeColor="text1"/>
              </w:rPr>
              <w:t>due to the reassurance provided.</w:t>
            </w:r>
          </w:p>
          <w:p w14:paraId="363262BC" w14:textId="77777777" w:rsidR="00E03513" w:rsidRDefault="00E03513" w:rsidP="008C71F3">
            <w:pPr>
              <w:tabs>
                <w:tab w:val="left" w:pos="720"/>
                <w:tab w:val="left" w:pos="9248"/>
              </w:tabs>
              <w:rPr>
                <w:rFonts w:ascii="Helvetica" w:hAnsi="Helvetica" w:cs="Helvetica"/>
                <w:color w:val="000000" w:themeColor="text1"/>
              </w:rPr>
            </w:pPr>
          </w:p>
          <w:p w14:paraId="6289BDEC" w14:textId="34E5BE0D" w:rsidR="00507FBA" w:rsidRPr="007A45A8" w:rsidRDefault="00507FBA" w:rsidP="00507FBA">
            <w:pPr>
              <w:tabs>
                <w:tab w:val="left" w:pos="720"/>
                <w:tab w:val="left" w:pos="9248"/>
              </w:tabs>
              <w:ind w:right="34"/>
              <w:rPr>
                <w:rFonts w:ascii="Arial" w:hAnsi="Arial" w:cs="Arial"/>
              </w:rPr>
            </w:pPr>
            <w:r>
              <w:rPr>
                <w:rFonts w:ascii="Arial" w:hAnsi="Arial" w:cs="Arial"/>
              </w:rPr>
              <w:t xml:space="preserve">The panel was assured by the information provided prior to the inspection and further by the information shared during the inspection that students have exposure to an appropriate breadth of patients and procedures and that this requirement is </w:t>
            </w:r>
            <w:r>
              <w:rPr>
                <w:rFonts w:ascii="Arial" w:hAnsi="Arial" w:cs="Arial"/>
                <w:b/>
                <w:bCs/>
              </w:rPr>
              <w:t>Met.</w:t>
            </w:r>
          </w:p>
          <w:p w14:paraId="76EFA494" w14:textId="77777777" w:rsidR="00507FBA" w:rsidRDefault="00507FBA" w:rsidP="008C71F3">
            <w:pPr>
              <w:tabs>
                <w:tab w:val="left" w:pos="720"/>
                <w:tab w:val="left" w:pos="9248"/>
              </w:tabs>
              <w:rPr>
                <w:rFonts w:ascii="Helvetica" w:hAnsi="Helvetica" w:cs="Helvetica"/>
                <w:color w:val="000000" w:themeColor="text1"/>
              </w:rPr>
            </w:pPr>
          </w:p>
          <w:p w14:paraId="73D66A6A" w14:textId="77777777" w:rsidR="00E2148E" w:rsidRPr="0084743E" w:rsidRDefault="00E2148E" w:rsidP="008C71F3">
            <w:pPr>
              <w:tabs>
                <w:tab w:val="left" w:pos="720"/>
                <w:tab w:val="left" w:pos="9248"/>
              </w:tabs>
              <w:rPr>
                <w:rFonts w:ascii="Arial" w:eastAsia="Calibri" w:hAnsi="Arial" w:cs="Arial"/>
                <w:b/>
                <w:i/>
                <w:color w:val="000000" w:themeColor="text1"/>
              </w:rPr>
            </w:pPr>
          </w:p>
          <w:p w14:paraId="03BD561A" w14:textId="752ED1FE"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Requirement 16: 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r w:rsidRPr="00CE1FEA">
              <w:rPr>
                <w:rFonts w:ascii="Arial" w:eastAsia="Calibri" w:hAnsi="Arial" w:cs="Arial"/>
                <w:b/>
                <w:i/>
                <w:color w:val="7F7F7F" w:themeColor="text1" w:themeTint="80"/>
              </w:rPr>
              <w:t>Requirement Met)</w:t>
            </w:r>
          </w:p>
          <w:p w14:paraId="119CE503" w14:textId="77777777" w:rsidR="00E2148E" w:rsidRPr="00CE1FEA" w:rsidRDefault="00E2148E" w:rsidP="008C71F3">
            <w:pPr>
              <w:tabs>
                <w:tab w:val="left" w:pos="720"/>
                <w:tab w:val="left" w:pos="9248"/>
              </w:tabs>
              <w:rPr>
                <w:rFonts w:ascii="Arial" w:eastAsia="Calibri" w:hAnsi="Arial" w:cs="Arial"/>
                <w:b/>
                <w:color w:val="7F7F7F" w:themeColor="text1" w:themeTint="80"/>
              </w:rPr>
            </w:pPr>
          </w:p>
          <w:p w14:paraId="666F4B9D" w14:textId="168784A9" w:rsidR="00E2148E" w:rsidRPr="00CE1FEA" w:rsidRDefault="00E2148E" w:rsidP="008C71F3">
            <w:pPr>
              <w:tabs>
                <w:tab w:val="left" w:pos="720"/>
                <w:tab w:val="left" w:pos="9248"/>
              </w:tabs>
              <w:rPr>
                <w:rFonts w:ascii="Helvetica" w:hAnsi="Helvetica" w:cs="Helvetica"/>
                <w:i/>
                <w:color w:val="7F7F7F" w:themeColor="text1" w:themeTint="80"/>
              </w:rPr>
            </w:pPr>
            <w:r w:rsidRPr="00CE1FEA">
              <w:rPr>
                <w:rFonts w:ascii="Arial" w:eastAsia="Calibri" w:hAnsi="Arial" w:cs="Arial"/>
                <w:b/>
                <w:color w:val="7F7F7F" w:themeColor="text1" w:themeTint="80"/>
              </w:rPr>
              <w:t xml:space="preserve">Requirement 17: Assessment must utilise feedback collected from a variety of sources, which should include other members of the dental team, peers, patients and/or customers. </w:t>
            </w:r>
            <w:r w:rsidRPr="00CE1FEA">
              <w:rPr>
                <w:rFonts w:ascii="Arial" w:eastAsia="Calibri" w:hAnsi="Arial" w:cs="Arial"/>
                <w:b/>
                <w:i/>
                <w:color w:val="7F7F7F" w:themeColor="text1" w:themeTint="80"/>
              </w:rPr>
              <w:t>(</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56B4B454" w14:textId="77777777" w:rsidR="00E2148E" w:rsidRPr="00CE1FEA" w:rsidRDefault="00E2148E" w:rsidP="008C71F3">
            <w:pPr>
              <w:rPr>
                <w:rFonts w:ascii="Helvetica" w:hAnsi="Helvetica" w:cs="Helvetica"/>
                <w:color w:val="7F7F7F" w:themeColor="text1" w:themeTint="80"/>
              </w:rPr>
            </w:pPr>
            <w:r w:rsidRPr="00CE1FEA">
              <w:rPr>
                <w:rFonts w:ascii="Helvetica" w:hAnsi="Helvetica" w:cs="Helvetica"/>
                <w:color w:val="7F7F7F" w:themeColor="text1" w:themeTint="80"/>
              </w:rPr>
              <w:t xml:space="preserve"> </w:t>
            </w:r>
          </w:p>
          <w:p w14:paraId="04E55FE7" w14:textId="26BA18C9"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 xml:space="preserve">Requirement 18: The provider must support students to improve their performance by providing regular feedback and by encouraging students to reflect on their practice. </w:t>
            </w:r>
            <w:r w:rsidRPr="00CE1FEA">
              <w:rPr>
                <w:rFonts w:ascii="Arial" w:eastAsia="Calibri" w:hAnsi="Arial" w:cs="Arial"/>
                <w:b/>
                <w:i/>
                <w:color w:val="7F7F7F" w:themeColor="text1" w:themeTint="80"/>
              </w:rPr>
              <w:t>(</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6E9CE27A" w14:textId="77777777" w:rsidR="00E2148E" w:rsidRPr="00CE1FEA" w:rsidRDefault="00E2148E" w:rsidP="008C71F3">
            <w:pPr>
              <w:tabs>
                <w:tab w:val="left" w:pos="720"/>
                <w:tab w:val="left" w:pos="9248"/>
              </w:tabs>
              <w:rPr>
                <w:rFonts w:ascii="Arial" w:eastAsia="Calibri" w:hAnsi="Arial" w:cs="Arial"/>
                <w:color w:val="7F7F7F" w:themeColor="text1" w:themeTint="80"/>
              </w:rPr>
            </w:pPr>
          </w:p>
          <w:p w14:paraId="63D6A4C4" w14:textId="49D492C2"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 xml:space="preserve">Requirement 19: Examiners/assessors must have appropriate skills, experience and training to undertake the task of assessment, including appropriate general or specialist registration with a UK regulatory body. Examiners/ assessors should have received training in equality and diversity relevant for their role. </w:t>
            </w:r>
            <w:r w:rsidRPr="00CE1FEA">
              <w:rPr>
                <w:rFonts w:ascii="Arial" w:eastAsia="Calibri" w:hAnsi="Arial" w:cs="Arial"/>
                <w:b/>
                <w:i/>
                <w:color w:val="7F7F7F" w:themeColor="text1" w:themeTint="80"/>
              </w:rPr>
              <w:t>(</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3C7BEF6F" w14:textId="77777777" w:rsidR="00E2148E" w:rsidRPr="00CE1FEA" w:rsidRDefault="00E2148E" w:rsidP="008C71F3">
            <w:pPr>
              <w:tabs>
                <w:tab w:val="left" w:pos="720"/>
                <w:tab w:val="left" w:pos="9248"/>
              </w:tabs>
              <w:rPr>
                <w:rFonts w:ascii="Arial" w:eastAsia="Calibri" w:hAnsi="Arial" w:cs="Arial"/>
                <w:b/>
                <w:i/>
                <w:color w:val="7F7F7F" w:themeColor="text1" w:themeTint="80"/>
              </w:rPr>
            </w:pPr>
          </w:p>
          <w:p w14:paraId="799D554E" w14:textId="37D07A54"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 (</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23DE8554" w14:textId="77777777" w:rsidR="00E2148E" w:rsidRPr="00CE1FEA" w:rsidRDefault="00E2148E" w:rsidP="008C71F3">
            <w:pPr>
              <w:tabs>
                <w:tab w:val="left" w:pos="720"/>
                <w:tab w:val="left" w:pos="9248"/>
              </w:tabs>
              <w:rPr>
                <w:rFonts w:ascii="Arial" w:eastAsia="Calibri" w:hAnsi="Arial" w:cs="Arial"/>
                <w:b/>
                <w:i/>
                <w:color w:val="7F7F7F" w:themeColor="text1" w:themeTint="80"/>
              </w:rPr>
            </w:pPr>
          </w:p>
          <w:p w14:paraId="2AADA1E3" w14:textId="6DACA920" w:rsidR="00E2148E" w:rsidRPr="00CE1FEA" w:rsidRDefault="00E2148E" w:rsidP="008C71F3">
            <w:pPr>
              <w:tabs>
                <w:tab w:val="left" w:pos="720"/>
                <w:tab w:val="left" w:pos="9248"/>
              </w:tabs>
              <w:rPr>
                <w:rFonts w:ascii="Arial" w:eastAsia="Calibri" w:hAnsi="Arial" w:cs="Arial"/>
                <w:b/>
                <w:i/>
                <w:color w:val="7F7F7F" w:themeColor="text1" w:themeTint="80"/>
              </w:rPr>
            </w:pPr>
            <w:r w:rsidRPr="00CE1FEA">
              <w:rPr>
                <w:rFonts w:ascii="Arial" w:eastAsia="Calibri" w:hAnsi="Arial" w:cs="Arial"/>
                <w:b/>
                <w:color w:val="7F7F7F" w:themeColor="text1" w:themeTint="80"/>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 (</w:t>
            </w:r>
            <w:r w:rsidRPr="00143322">
              <w:rPr>
                <w:rFonts w:ascii="Arial" w:eastAsia="Calibri" w:hAnsi="Arial" w:cs="Arial"/>
                <w:b/>
                <w:i/>
                <w:color w:val="7F7F7F" w:themeColor="text1" w:themeTint="80"/>
              </w:rPr>
              <w:t>Requirement Met</w:t>
            </w:r>
            <w:r w:rsidRPr="00CE1FEA">
              <w:rPr>
                <w:rFonts w:ascii="Arial" w:eastAsia="Calibri" w:hAnsi="Arial" w:cs="Arial"/>
                <w:b/>
                <w:i/>
                <w:color w:val="7F7F7F" w:themeColor="text1" w:themeTint="80"/>
              </w:rPr>
              <w:t>)</w:t>
            </w:r>
          </w:p>
          <w:p w14:paraId="6228480C" w14:textId="77777777" w:rsidR="00E2148E" w:rsidRPr="0084743E" w:rsidRDefault="00E2148E" w:rsidP="008C71F3">
            <w:pPr>
              <w:tabs>
                <w:tab w:val="left" w:pos="720"/>
                <w:tab w:val="left" w:pos="9248"/>
              </w:tabs>
              <w:rPr>
                <w:rFonts w:ascii="Arial" w:eastAsia="Calibri" w:hAnsi="Arial" w:cs="Arial"/>
                <w:color w:val="000000" w:themeColor="text1"/>
              </w:rPr>
            </w:pPr>
          </w:p>
          <w:p w14:paraId="236E8538" w14:textId="77777777" w:rsidR="00E2148E" w:rsidRPr="0084743E" w:rsidRDefault="00E2148E" w:rsidP="008C71F3">
            <w:pPr>
              <w:tabs>
                <w:tab w:val="left" w:pos="720"/>
                <w:tab w:val="left" w:pos="9248"/>
              </w:tabs>
              <w:rPr>
                <w:rFonts w:ascii="Arial" w:eastAsia="Calibri" w:hAnsi="Arial" w:cs="Arial"/>
                <w:color w:val="000000" w:themeColor="text1"/>
              </w:rPr>
            </w:pPr>
          </w:p>
        </w:tc>
      </w:tr>
    </w:tbl>
    <w:p w14:paraId="51A7B01E" w14:textId="6B1CC1A7" w:rsidR="00CB6EEE" w:rsidRPr="0084743E" w:rsidRDefault="00CB6EEE" w:rsidP="004213EA">
      <w:pPr>
        <w:rPr>
          <w:rFonts w:ascii="Arial" w:hAnsi="Arial" w:cs="Arial"/>
          <w:b/>
          <w:color w:val="1F3864" w:themeColor="accent1" w:themeShade="80"/>
          <w:sz w:val="28"/>
        </w:rPr>
        <w:sectPr w:rsidR="00CB6EEE" w:rsidRPr="0084743E" w:rsidSect="00CB6EEE">
          <w:footerReference w:type="default" r:id="rId12"/>
          <w:pgSz w:w="11906" w:h="16838"/>
          <w:pgMar w:top="1440" w:right="1440" w:bottom="1440" w:left="1440" w:header="709" w:footer="709" w:gutter="0"/>
          <w:cols w:space="708"/>
          <w:docGrid w:linePitch="360"/>
        </w:sectPr>
      </w:pPr>
      <w:r w:rsidRPr="0084743E">
        <w:rPr>
          <w:rFonts w:ascii="Arial" w:hAnsi="Arial" w:cs="Arial"/>
          <w:b/>
          <w:color w:val="1F3864" w:themeColor="accent1" w:themeShade="80"/>
          <w:sz w:val="28"/>
        </w:rPr>
        <w:lastRenderedPageBreak/>
        <w:br w:type="page"/>
      </w:r>
    </w:p>
    <w:p w14:paraId="58A9E1E2" w14:textId="28EAC581" w:rsidR="00DD37F6" w:rsidRPr="0084743E" w:rsidRDefault="004213EA" w:rsidP="004213EA">
      <w:pPr>
        <w:rPr>
          <w:rFonts w:ascii="Arial" w:hAnsi="Arial" w:cs="Arial"/>
          <w:b/>
          <w:color w:val="1F3864" w:themeColor="accent1" w:themeShade="80"/>
          <w:sz w:val="28"/>
        </w:rPr>
      </w:pPr>
      <w:r w:rsidRPr="0084743E">
        <w:rPr>
          <w:rFonts w:ascii="Arial" w:hAnsi="Arial" w:cs="Arial"/>
          <w:b/>
          <w:color w:val="1F3864" w:themeColor="accent1" w:themeShade="80"/>
          <w:sz w:val="28"/>
        </w:rPr>
        <w:lastRenderedPageBreak/>
        <w:t>Summary of Acti</w:t>
      </w:r>
      <w:r w:rsidR="00FA6320" w:rsidRPr="0084743E">
        <w:rPr>
          <w:rFonts w:ascii="Arial" w:hAnsi="Arial" w:cs="Arial"/>
          <w:b/>
          <w:color w:val="1F3864" w:themeColor="accent1" w:themeShade="80"/>
          <w:sz w:val="28"/>
        </w:rPr>
        <w:t>o</w:t>
      </w:r>
      <w:r w:rsidR="00BE085C" w:rsidRPr="0084743E">
        <w:rPr>
          <w:rFonts w:ascii="Arial" w:hAnsi="Arial" w:cs="Arial"/>
          <w:b/>
          <w:color w:val="1F3864" w:themeColor="accent1" w:themeShade="80"/>
          <w:sz w:val="28"/>
        </w:rPr>
        <w:t>n</w:t>
      </w:r>
    </w:p>
    <w:tbl>
      <w:tblPr>
        <w:tblStyle w:val="TableGrid"/>
        <w:tblW w:w="0" w:type="auto"/>
        <w:tblLook w:val="04A0" w:firstRow="1" w:lastRow="0" w:firstColumn="1" w:lastColumn="0" w:noHBand="0" w:noVBand="1"/>
      </w:tblPr>
      <w:tblGrid>
        <w:gridCol w:w="1561"/>
        <w:gridCol w:w="4534"/>
        <w:gridCol w:w="5667"/>
        <w:gridCol w:w="2186"/>
      </w:tblGrid>
      <w:tr w:rsidR="00DD37F6" w:rsidRPr="0084743E" w14:paraId="53E9ECA7" w14:textId="77777777" w:rsidTr="00B10A18">
        <w:tc>
          <w:tcPr>
            <w:tcW w:w="1561" w:type="dxa"/>
            <w:shd w:val="clear" w:color="auto" w:fill="2F5496" w:themeFill="accent1" w:themeFillShade="BF"/>
          </w:tcPr>
          <w:p w14:paraId="56DC5830" w14:textId="7B3C22E8"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Req</w:t>
            </w:r>
            <w:r w:rsidR="00CB6EEE" w:rsidRPr="0084743E">
              <w:rPr>
                <w:rFonts w:ascii="Arial" w:hAnsi="Arial" w:cs="Arial"/>
                <w:b/>
                <w:color w:val="FFFFFF" w:themeColor="background1"/>
              </w:rPr>
              <w:t>uirement</w:t>
            </w:r>
            <w:r w:rsidR="00EA2031" w:rsidRPr="0084743E">
              <w:rPr>
                <w:rFonts w:ascii="Arial" w:hAnsi="Arial" w:cs="Arial"/>
                <w:b/>
                <w:color w:val="FFFFFF" w:themeColor="background1"/>
              </w:rPr>
              <w:t xml:space="preserve"> </w:t>
            </w:r>
            <w:r w:rsidR="0098457E" w:rsidRPr="0084743E">
              <w:rPr>
                <w:rFonts w:ascii="Arial" w:hAnsi="Arial" w:cs="Arial"/>
                <w:b/>
                <w:color w:val="FFFFFF" w:themeColor="background1"/>
              </w:rPr>
              <w:t>number</w:t>
            </w:r>
          </w:p>
        </w:tc>
        <w:tc>
          <w:tcPr>
            <w:tcW w:w="4534" w:type="dxa"/>
            <w:shd w:val="clear" w:color="auto" w:fill="2F5496" w:themeFill="accent1" w:themeFillShade="BF"/>
          </w:tcPr>
          <w:p w14:paraId="5E301E19" w14:textId="5C386771"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Action</w:t>
            </w:r>
          </w:p>
        </w:tc>
        <w:tc>
          <w:tcPr>
            <w:tcW w:w="5667" w:type="dxa"/>
            <w:shd w:val="clear" w:color="auto" w:fill="2F5496" w:themeFill="accent1" w:themeFillShade="BF"/>
          </w:tcPr>
          <w:p w14:paraId="76FF9E2A" w14:textId="7DABBE35"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 xml:space="preserve">Observations </w:t>
            </w:r>
            <w:r w:rsidR="00EA2031" w:rsidRPr="0084743E">
              <w:rPr>
                <w:rFonts w:ascii="Arial" w:hAnsi="Arial" w:cs="Arial"/>
                <w:b/>
                <w:color w:val="FFFFFF" w:themeColor="background1"/>
              </w:rPr>
              <w:t>&amp; response from Provider</w:t>
            </w:r>
          </w:p>
        </w:tc>
        <w:tc>
          <w:tcPr>
            <w:tcW w:w="2186" w:type="dxa"/>
            <w:shd w:val="clear" w:color="auto" w:fill="2F5496" w:themeFill="accent1" w:themeFillShade="BF"/>
          </w:tcPr>
          <w:p w14:paraId="47639F7A" w14:textId="47800ADA" w:rsidR="00DD37F6" w:rsidRPr="0084743E" w:rsidRDefault="00EA2031" w:rsidP="004213EA">
            <w:pPr>
              <w:rPr>
                <w:rFonts w:ascii="Arial" w:hAnsi="Arial" w:cs="Arial"/>
                <w:b/>
                <w:color w:val="FFFFFF" w:themeColor="background1"/>
              </w:rPr>
            </w:pPr>
            <w:r w:rsidRPr="0084743E">
              <w:rPr>
                <w:rFonts w:ascii="Arial" w:hAnsi="Arial" w:cs="Arial"/>
                <w:b/>
                <w:color w:val="FFFFFF" w:themeColor="background1"/>
              </w:rPr>
              <w:t>Due date</w:t>
            </w:r>
          </w:p>
        </w:tc>
      </w:tr>
      <w:tr w:rsidR="0098457E" w:rsidRPr="0084743E" w14:paraId="3F5E5268" w14:textId="77777777" w:rsidTr="00B10A18">
        <w:tc>
          <w:tcPr>
            <w:tcW w:w="1561" w:type="dxa"/>
            <w:shd w:val="clear" w:color="auto" w:fill="FFFFFF" w:themeFill="background1"/>
          </w:tcPr>
          <w:p w14:paraId="1E71525B" w14:textId="50D3E868" w:rsidR="0098457E" w:rsidRPr="0084743E" w:rsidRDefault="00B10A18" w:rsidP="004213EA">
            <w:pPr>
              <w:rPr>
                <w:rFonts w:ascii="Arial" w:hAnsi="Arial" w:cs="Arial"/>
              </w:rPr>
            </w:pPr>
            <w:r>
              <w:rPr>
                <w:rFonts w:ascii="Arial" w:hAnsi="Arial" w:cs="Arial"/>
              </w:rPr>
              <w:t>N/A</w:t>
            </w:r>
          </w:p>
        </w:tc>
        <w:tc>
          <w:tcPr>
            <w:tcW w:w="4534" w:type="dxa"/>
            <w:shd w:val="clear" w:color="auto" w:fill="FFFFFF" w:themeFill="background1"/>
          </w:tcPr>
          <w:p w14:paraId="7C7142A0" w14:textId="513EDCD1" w:rsidR="0098457E" w:rsidRPr="0084743E" w:rsidRDefault="00B10A18" w:rsidP="004213EA">
            <w:pPr>
              <w:rPr>
                <w:rFonts w:ascii="Arial" w:hAnsi="Arial" w:cs="Arial"/>
              </w:rPr>
            </w:pPr>
            <w:r>
              <w:rPr>
                <w:rFonts w:ascii="Arial" w:hAnsi="Arial" w:cs="Arial"/>
              </w:rPr>
              <w:t>N/A</w:t>
            </w:r>
          </w:p>
        </w:tc>
        <w:tc>
          <w:tcPr>
            <w:tcW w:w="5667" w:type="dxa"/>
            <w:shd w:val="clear" w:color="auto" w:fill="FFFFFF" w:themeFill="background1"/>
          </w:tcPr>
          <w:p w14:paraId="2015DE9A" w14:textId="41300243" w:rsidR="0098457E" w:rsidRPr="0084743E" w:rsidRDefault="00B10A18" w:rsidP="004213EA">
            <w:pPr>
              <w:rPr>
                <w:rFonts w:ascii="Arial" w:hAnsi="Arial" w:cs="Arial"/>
              </w:rPr>
            </w:pPr>
            <w:r>
              <w:rPr>
                <w:rFonts w:ascii="Arial" w:hAnsi="Arial" w:cs="Arial"/>
              </w:rPr>
              <w:t>N/A</w:t>
            </w:r>
          </w:p>
        </w:tc>
        <w:tc>
          <w:tcPr>
            <w:tcW w:w="2186" w:type="dxa"/>
            <w:shd w:val="clear" w:color="auto" w:fill="FFFFFF" w:themeFill="background1"/>
          </w:tcPr>
          <w:p w14:paraId="020971C5" w14:textId="362B89E4" w:rsidR="0098457E" w:rsidRPr="0084743E" w:rsidRDefault="00B10A18" w:rsidP="004213EA">
            <w:pPr>
              <w:rPr>
                <w:rFonts w:ascii="Arial" w:hAnsi="Arial" w:cs="Arial"/>
              </w:rPr>
            </w:pPr>
            <w:r>
              <w:rPr>
                <w:rFonts w:ascii="Arial" w:hAnsi="Arial" w:cs="Arial"/>
              </w:rPr>
              <w:t>N/A</w:t>
            </w:r>
          </w:p>
        </w:tc>
      </w:tr>
    </w:tbl>
    <w:p w14:paraId="2E3295AE" w14:textId="77777777" w:rsidR="00DD37F6" w:rsidRPr="0084743E" w:rsidRDefault="00DD37F6" w:rsidP="004213EA">
      <w:pPr>
        <w:rPr>
          <w:rFonts w:ascii="Arial" w:hAnsi="Arial" w:cs="Arial"/>
          <w:b/>
          <w:color w:val="1F3864" w:themeColor="accent1" w:themeShade="80"/>
          <w:sz w:val="28"/>
        </w:rPr>
      </w:pPr>
    </w:p>
    <w:p w14:paraId="5691527E" w14:textId="77777777" w:rsidR="0075694B" w:rsidRPr="0084743E" w:rsidRDefault="0075694B" w:rsidP="0075694B">
      <w:pPr>
        <w:rPr>
          <w:rFonts w:ascii="Arial" w:hAnsi="Arial" w:cs="Arial"/>
          <w:b/>
          <w:color w:val="244061"/>
          <w:sz w:val="28"/>
          <w:szCs w:val="28"/>
        </w:rPr>
      </w:pPr>
      <w:r w:rsidRPr="0084743E">
        <w:rPr>
          <w:rFonts w:ascii="Arial" w:hAnsi="Arial" w:cs="Arial"/>
          <w:b/>
          <w:color w:val="244061"/>
          <w:sz w:val="28"/>
          <w:szCs w:val="28"/>
        </w:rPr>
        <w:t xml:space="preserve">Observations from the provider on content of report </w:t>
      </w:r>
    </w:p>
    <w:tbl>
      <w:tblPr>
        <w:tblStyle w:val="TableGrid"/>
        <w:tblW w:w="0" w:type="auto"/>
        <w:tblInd w:w="-5" w:type="dxa"/>
        <w:tblLook w:val="04A0" w:firstRow="1" w:lastRow="0" w:firstColumn="1" w:lastColumn="0" w:noHBand="0" w:noVBand="1"/>
      </w:tblPr>
      <w:tblGrid>
        <w:gridCol w:w="13953"/>
      </w:tblGrid>
      <w:tr w:rsidR="0075694B" w:rsidRPr="0084743E" w14:paraId="1701DF57" w14:textId="77777777" w:rsidTr="00BA0A18">
        <w:tc>
          <w:tcPr>
            <w:tcW w:w="13953" w:type="dxa"/>
          </w:tcPr>
          <w:p w14:paraId="2CD73A64" w14:textId="6E736D0F" w:rsidR="0075694B" w:rsidRPr="0084743E" w:rsidRDefault="002C58DA" w:rsidP="003B65CB">
            <w:pPr>
              <w:rPr>
                <w:rFonts w:ascii="Arial" w:hAnsi="Arial" w:cs="Arial"/>
                <w:b/>
                <w:color w:val="365F91"/>
              </w:rPr>
            </w:pPr>
            <w:r w:rsidRPr="002C58DA">
              <w:rPr>
                <w:rFonts w:ascii="Arial" w:hAnsi="Arial" w:cs="Arial"/>
                <w:b/>
                <w:color w:val="365F91"/>
              </w:rPr>
              <w:t>The University of Birmingham are satisfied with the factual accuracy of this report, and we are pleased that we had the opportunity to share the quality of education and experience we provide with the GDC.</w:t>
            </w:r>
          </w:p>
          <w:p w14:paraId="74DFA104" w14:textId="77777777" w:rsidR="003B65CB" w:rsidRPr="0084743E" w:rsidRDefault="003B65CB" w:rsidP="003B65CB">
            <w:pPr>
              <w:rPr>
                <w:rFonts w:ascii="Arial" w:hAnsi="Arial" w:cs="Arial"/>
                <w:b/>
                <w:color w:val="365F91"/>
              </w:rPr>
            </w:pPr>
          </w:p>
          <w:p w14:paraId="2BA93FD0" w14:textId="57E7DB94" w:rsidR="003B65CB" w:rsidRPr="0084743E" w:rsidRDefault="003B65CB" w:rsidP="003B65CB">
            <w:pPr>
              <w:rPr>
                <w:rFonts w:ascii="Arial" w:hAnsi="Arial" w:cs="Arial"/>
                <w:b/>
                <w:color w:val="365F91"/>
              </w:rPr>
            </w:pPr>
          </w:p>
        </w:tc>
      </w:tr>
    </w:tbl>
    <w:p w14:paraId="059D96FB" w14:textId="77777777" w:rsidR="00DA6B7C" w:rsidRPr="0084743E" w:rsidRDefault="00DA6B7C" w:rsidP="004213EA">
      <w:pPr>
        <w:rPr>
          <w:rFonts w:ascii="Arial" w:hAnsi="Arial" w:cs="Arial"/>
          <w:b/>
          <w:color w:val="1F3864" w:themeColor="accent1" w:themeShade="80"/>
          <w:sz w:val="28"/>
        </w:rPr>
      </w:pPr>
    </w:p>
    <w:p w14:paraId="2C1B6DB5" w14:textId="77777777" w:rsidR="0075694B" w:rsidRPr="0084743E" w:rsidRDefault="0075694B" w:rsidP="0075694B">
      <w:pPr>
        <w:rPr>
          <w:rFonts w:ascii="Arial" w:hAnsi="Arial" w:cs="Arial"/>
          <w:b/>
          <w:color w:val="244061"/>
          <w:sz w:val="28"/>
          <w:szCs w:val="28"/>
        </w:rPr>
      </w:pPr>
      <w:r w:rsidRPr="0084743E">
        <w:rPr>
          <w:rFonts w:ascii="Arial" w:hAnsi="Arial" w:cs="Arial"/>
          <w:b/>
          <w:color w:val="244061"/>
          <w:sz w:val="28"/>
          <w:szCs w:val="28"/>
        </w:rPr>
        <w:t>Recommendations to the GDC</w:t>
      </w:r>
    </w:p>
    <w:p w14:paraId="176C7E66" w14:textId="3839BABD" w:rsidR="002546AF" w:rsidRPr="0084743E"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84743E" w14:paraId="4289ED4B" w14:textId="77777777" w:rsidTr="00682FCA">
        <w:tc>
          <w:tcPr>
            <w:tcW w:w="6091" w:type="dxa"/>
            <w:shd w:val="clear" w:color="auto" w:fill="2F5496" w:themeFill="accent1" w:themeFillShade="BF"/>
          </w:tcPr>
          <w:p w14:paraId="33FADD9D" w14:textId="4B334455" w:rsidR="002546AF" w:rsidRPr="0084743E" w:rsidRDefault="00E354C6" w:rsidP="000E3F78">
            <w:pPr>
              <w:autoSpaceDE w:val="0"/>
              <w:autoSpaceDN w:val="0"/>
              <w:adjustRightInd w:val="0"/>
              <w:rPr>
                <w:rFonts w:ascii="Arial" w:hAnsi="Arial" w:cs="Arial"/>
                <w:b/>
                <w:color w:val="FFFFFF" w:themeColor="background1"/>
              </w:rPr>
            </w:pPr>
            <w:r w:rsidRPr="0084743E">
              <w:rPr>
                <w:rFonts w:ascii="Arial" w:hAnsi="Arial" w:cs="Arial"/>
                <w:b/>
                <w:color w:val="FFFFFF" w:themeColor="background1"/>
              </w:rPr>
              <w:t>Education associates’</w:t>
            </w:r>
            <w:r w:rsidR="002546AF" w:rsidRPr="0084743E">
              <w:rPr>
                <w:rFonts w:ascii="Arial" w:hAnsi="Arial" w:cs="Arial"/>
                <w:b/>
                <w:color w:val="FFFFFF" w:themeColor="background1"/>
              </w:rPr>
              <w:t xml:space="preserve"> recommendation</w:t>
            </w:r>
          </w:p>
        </w:tc>
        <w:tc>
          <w:tcPr>
            <w:tcW w:w="7857" w:type="dxa"/>
          </w:tcPr>
          <w:p w14:paraId="3A14944C" w14:textId="0C68C5DB" w:rsidR="002546AF" w:rsidRPr="0084743E" w:rsidRDefault="003835BD" w:rsidP="000E3F78">
            <w:pPr>
              <w:autoSpaceDE w:val="0"/>
              <w:autoSpaceDN w:val="0"/>
              <w:adjustRightInd w:val="0"/>
              <w:rPr>
                <w:rFonts w:ascii="Arial" w:hAnsi="Arial" w:cs="Arial"/>
                <w:color w:val="000000"/>
              </w:rPr>
            </w:pPr>
            <w:r w:rsidRPr="0084743E">
              <w:rPr>
                <w:rFonts w:ascii="Arial" w:hAnsi="Arial" w:cs="Arial"/>
                <w:color w:val="000000"/>
              </w:rPr>
              <w:t xml:space="preserve">The </w:t>
            </w:r>
            <w:r w:rsidR="00CE1FEA">
              <w:rPr>
                <w:rFonts w:ascii="Arial" w:hAnsi="Arial" w:cs="Arial"/>
                <w:color w:val="000000"/>
              </w:rPr>
              <w:t>BDS</w:t>
            </w:r>
            <w:r w:rsidR="00896F94">
              <w:rPr>
                <w:rFonts w:ascii="Arial" w:hAnsi="Arial" w:cs="Arial"/>
                <w:color w:val="000000"/>
              </w:rPr>
              <w:t xml:space="preserve"> </w:t>
            </w:r>
            <w:r w:rsidR="002546AF" w:rsidRPr="00CE1FEA">
              <w:rPr>
                <w:rFonts w:ascii="Arial" w:hAnsi="Arial" w:cs="Arial"/>
                <w:color w:val="000000"/>
              </w:rPr>
              <w:t xml:space="preserve">continues to be </w:t>
            </w:r>
            <w:r w:rsidR="00B70CE3" w:rsidRPr="00CE1FEA">
              <w:rPr>
                <w:rFonts w:ascii="Arial" w:hAnsi="Arial" w:cs="Arial"/>
                <w:color w:val="000000"/>
              </w:rPr>
              <w:t>sufficient</w:t>
            </w:r>
            <w:r w:rsidR="002546AF" w:rsidRPr="00CE1FEA">
              <w:rPr>
                <w:rFonts w:ascii="Arial" w:hAnsi="Arial" w:cs="Arial"/>
                <w:color w:val="000000"/>
              </w:rPr>
              <w:t xml:space="preserve"> </w:t>
            </w:r>
            <w:r w:rsidR="002546AF" w:rsidRPr="0084743E">
              <w:rPr>
                <w:rFonts w:ascii="Arial" w:hAnsi="Arial" w:cs="Arial"/>
                <w:color w:val="000000"/>
              </w:rPr>
              <w:t xml:space="preserve">for holders to apply for registration as a </w:t>
            </w:r>
            <w:r w:rsidR="00CE1FEA">
              <w:rPr>
                <w:rFonts w:ascii="Arial" w:hAnsi="Arial" w:cs="Arial"/>
                <w:color w:val="000000"/>
              </w:rPr>
              <w:t xml:space="preserve">Dentist </w:t>
            </w:r>
            <w:r w:rsidR="002546AF" w:rsidRPr="0084743E">
              <w:rPr>
                <w:rFonts w:ascii="Arial" w:hAnsi="Arial" w:cs="Arial"/>
                <w:color w:val="000000"/>
              </w:rPr>
              <w:t>with the General Dental Council</w:t>
            </w:r>
            <w:r w:rsidR="00200492" w:rsidRPr="0084743E">
              <w:rPr>
                <w:rFonts w:ascii="Arial" w:hAnsi="Arial" w:cs="Arial"/>
                <w:color w:val="000000"/>
              </w:rPr>
              <w:t xml:space="preserve">. </w:t>
            </w:r>
          </w:p>
        </w:tc>
      </w:tr>
      <w:tr w:rsidR="002546AF" w:rsidRPr="0084743E" w14:paraId="5D292165" w14:textId="77777777" w:rsidTr="00682FCA">
        <w:trPr>
          <w:trHeight w:val="301"/>
        </w:trPr>
        <w:tc>
          <w:tcPr>
            <w:tcW w:w="6091" w:type="dxa"/>
            <w:shd w:val="clear" w:color="auto" w:fill="2F5496" w:themeFill="accent1" w:themeFillShade="BF"/>
          </w:tcPr>
          <w:p w14:paraId="522D1C7D" w14:textId="56E40719" w:rsidR="002546AF" w:rsidRPr="0084743E" w:rsidRDefault="00CE1FEA" w:rsidP="000E3F78">
            <w:pPr>
              <w:autoSpaceDE w:val="0"/>
              <w:autoSpaceDN w:val="0"/>
              <w:adjustRightInd w:val="0"/>
              <w:rPr>
                <w:rFonts w:ascii="Arial" w:hAnsi="Arial" w:cs="Arial"/>
                <w:b/>
                <w:color w:val="FFFFFF" w:themeColor="background1"/>
              </w:rPr>
            </w:pPr>
            <w:r>
              <w:rPr>
                <w:rFonts w:ascii="Arial" w:hAnsi="Arial" w:cs="Arial"/>
                <w:b/>
                <w:color w:val="FFFFFF" w:themeColor="background1"/>
              </w:rPr>
              <w:t xml:space="preserve">Next </w:t>
            </w:r>
            <w:r w:rsidR="002546AF" w:rsidRPr="0084743E">
              <w:rPr>
                <w:rFonts w:ascii="Arial" w:hAnsi="Arial" w:cs="Arial"/>
                <w:b/>
                <w:color w:val="FFFFFF" w:themeColor="background1"/>
              </w:rPr>
              <w:t>regular monitoring exercise</w:t>
            </w:r>
          </w:p>
        </w:tc>
        <w:tc>
          <w:tcPr>
            <w:tcW w:w="7857" w:type="dxa"/>
          </w:tcPr>
          <w:p w14:paraId="27AAC3E0" w14:textId="7373F6E9" w:rsidR="002546AF" w:rsidRPr="0084743E" w:rsidRDefault="00CE1FEA" w:rsidP="000E3F78">
            <w:pPr>
              <w:autoSpaceDE w:val="0"/>
              <w:autoSpaceDN w:val="0"/>
              <w:adjustRightInd w:val="0"/>
              <w:rPr>
                <w:rFonts w:ascii="Arial" w:hAnsi="Arial" w:cs="Arial"/>
                <w:color w:val="000000"/>
              </w:rPr>
            </w:pPr>
            <w:r>
              <w:rPr>
                <w:rFonts w:ascii="Arial" w:hAnsi="Arial" w:cs="Arial"/>
                <w:color w:val="000000"/>
              </w:rPr>
              <w:t>Academic year 202</w:t>
            </w:r>
            <w:r w:rsidR="00B10A18">
              <w:rPr>
                <w:rFonts w:ascii="Arial" w:hAnsi="Arial" w:cs="Arial"/>
                <w:color w:val="000000"/>
              </w:rPr>
              <w:t>7 - 2028</w:t>
            </w:r>
          </w:p>
        </w:tc>
      </w:tr>
    </w:tbl>
    <w:p w14:paraId="19BDBA88" w14:textId="77777777" w:rsidR="002546AF" w:rsidRPr="0084743E" w:rsidRDefault="002546AF" w:rsidP="000E3F78">
      <w:pPr>
        <w:autoSpaceDE w:val="0"/>
        <w:autoSpaceDN w:val="0"/>
        <w:adjustRightInd w:val="0"/>
        <w:spacing w:after="0" w:line="240" w:lineRule="auto"/>
        <w:rPr>
          <w:rFonts w:ascii="Arial" w:hAnsi="Arial" w:cs="Arial"/>
          <w:color w:val="000000"/>
        </w:rPr>
      </w:pPr>
    </w:p>
    <w:p w14:paraId="0482BA1F"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579BC4E9"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3D27EBF2" w14:textId="77777777" w:rsidR="00CB6EEE" w:rsidRPr="0084743E" w:rsidRDefault="006B5F1C">
      <w:pPr>
        <w:rPr>
          <w:rFonts w:ascii="Arial" w:hAnsi="Arial" w:cs="Arial"/>
          <w:color w:val="000000"/>
        </w:rPr>
        <w:sectPr w:rsidR="00CB6EEE" w:rsidRPr="0084743E" w:rsidSect="00CB6EEE">
          <w:pgSz w:w="16838" w:h="11906" w:orient="landscape"/>
          <w:pgMar w:top="1440" w:right="1440" w:bottom="1440" w:left="1440" w:header="709" w:footer="709" w:gutter="0"/>
          <w:cols w:space="708"/>
          <w:docGrid w:linePitch="360"/>
        </w:sectPr>
      </w:pPr>
      <w:r w:rsidRPr="0084743E">
        <w:rPr>
          <w:rFonts w:ascii="Arial" w:hAnsi="Arial" w:cs="Arial"/>
          <w:color w:val="000000"/>
        </w:rPr>
        <w:br w:type="page"/>
      </w:r>
    </w:p>
    <w:p w14:paraId="0258236F" w14:textId="53B2421B" w:rsidR="006B5F1C" w:rsidRPr="0084743E" w:rsidRDefault="00CB6EEE" w:rsidP="006B5F1C">
      <w:pPr>
        <w:pStyle w:val="Default"/>
        <w:rPr>
          <w:b/>
          <w:bCs/>
          <w:sz w:val="28"/>
          <w:szCs w:val="28"/>
        </w:rPr>
      </w:pPr>
      <w:r w:rsidRPr="0084743E">
        <w:rPr>
          <w:b/>
          <w:bCs/>
          <w:sz w:val="28"/>
          <w:szCs w:val="28"/>
        </w:rPr>
        <w:lastRenderedPageBreak/>
        <w:t>Ann</w:t>
      </w:r>
      <w:r w:rsidR="006B5F1C" w:rsidRPr="0084743E">
        <w:rPr>
          <w:b/>
          <w:bCs/>
          <w:sz w:val="28"/>
          <w:szCs w:val="28"/>
        </w:rPr>
        <w:t xml:space="preserve">ex 1 </w:t>
      </w:r>
    </w:p>
    <w:p w14:paraId="6224E51B" w14:textId="77777777" w:rsidR="00F0414F" w:rsidRPr="0084743E" w:rsidRDefault="00F0414F" w:rsidP="006B5F1C">
      <w:pPr>
        <w:pStyle w:val="Default"/>
        <w:rPr>
          <w:sz w:val="28"/>
          <w:szCs w:val="28"/>
        </w:rPr>
      </w:pPr>
    </w:p>
    <w:p w14:paraId="0A53F952" w14:textId="2A98E4F1" w:rsidR="006B5F1C" w:rsidRPr="0084743E" w:rsidRDefault="006B5F1C" w:rsidP="006B5F1C">
      <w:pPr>
        <w:pStyle w:val="Default"/>
        <w:rPr>
          <w:b/>
          <w:bCs/>
          <w:sz w:val="22"/>
          <w:szCs w:val="22"/>
        </w:rPr>
      </w:pPr>
      <w:r w:rsidRPr="0084743E">
        <w:rPr>
          <w:b/>
          <w:bCs/>
          <w:sz w:val="22"/>
          <w:szCs w:val="22"/>
        </w:rPr>
        <w:t xml:space="preserve">Inspection purpose and process </w:t>
      </w:r>
    </w:p>
    <w:p w14:paraId="22A747B0" w14:textId="31631BF1" w:rsidR="00A208AA" w:rsidRPr="0084743E" w:rsidRDefault="00A208AA" w:rsidP="000E3F78">
      <w:pPr>
        <w:autoSpaceDE w:val="0"/>
        <w:autoSpaceDN w:val="0"/>
        <w:adjustRightInd w:val="0"/>
        <w:spacing w:after="0" w:line="240" w:lineRule="auto"/>
        <w:rPr>
          <w:rFonts w:ascii="Arial" w:hAnsi="Arial" w:cs="Arial"/>
          <w:color w:val="000000"/>
        </w:rPr>
      </w:pPr>
    </w:p>
    <w:p w14:paraId="164916A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84743E"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evidence and gathers further evidence from discussions with staff and students. The panel will reach a decision on each Requirement, using the following descriptors: </w:t>
      </w:r>
    </w:p>
    <w:p w14:paraId="59969AD1"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met if: </w:t>
      </w:r>
    </w:p>
    <w:p w14:paraId="771E07A3"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“There is sufficient appropriate evidence derived from the inspection process. This evidence provides the </w:t>
      </w:r>
      <w:r w:rsidR="000A44A5" w:rsidRPr="0084743E">
        <w:rPr>
          <w:rFonts w:ascii="Arial" w:hAnsi="Arial" w:cs="Arial"/>
          <w:color w:val="000000"/>
        </w:rPr>
        <w:t xml:space="preserve">education associates </w:t>
      </w:r>
      <w:r w:rsidRPr="0084743E">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consistent and not contradictory. There may be minor deficiencies in the evidence supplied but these are likely to be inconsequential.” </w:t>
      </w:r>
    </w:p>
    <w:p w14:paraId="6FB9341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partly met if: </w:t>
      </w:r>
    </w:p>
    <w:p w14:paraId="247BB39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A5849E"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w:t>
      </w:r>
      <w:proofErr w:type="gramStart"/>
      <w:r w:rsidRPr="0084743E">
        <w:rPr>
          <w:rFonts w:ascii="Arial" w:hAnsi="Arial" w:cs="Arial"/>
          <w:color w:val="000000"/>
        </w:rPr>
        <w:t>or,</w:t>
      </w:r>
      <w:proofErr w:type="gramEnd"/>
      <w:r w:rsidRPr="0084743E">
        <w:rPr>
          <w:rFonts w:ascii="Arial" w:hAnsi="Arial" w:cs="Arial"/>
          <w:color w:val="000000"/>
        </w:rPr>
        <w:t xml:space="preserve"> (b) any deficiencies identified can be addressed and evidenced in the annual monitoring process.”</w:t>
      </w:r>
    </w:p>
    <w:p w14:paraId="40DD764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A Requirement is not met if:</w:t>
      </w:r>
    </w:p>
    <w:p w14:paraId="7D120BF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629E6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lastRenderedPageBreak/>
        <w:t xml:space="preserve">“The provider cannot provide evidence to demonstrate a Requirement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protection” </w:t>
      </w:r>
    </w:p>
    <w:p w14:paraId="3A63F04C"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0" w:name="_Hlk48834156"/>
      <w:r w:rsidRPr="0084743E">
        <w:rPr>
          <w:rFonts w:ascii="Arial" w:hAnsi="Arial" w:cs="Arial"/>
          <w:color w:val="000000"/>
        </w:rPr>
        <w:t xml:space="preserve">Where an action is needed for a Requirement to be met, </w:t>
      </w:r>
      <w:bookmarkStart w:id="1" w:name="_Hlk48834100"/>
      <w:r w:rsidRPr="0084743E">
        <w:rPr>
          <w:rFonts w:ascii="Arial" w:hAnsi="Arial" w:cs="Arial"/>
          <w:color w:val="000000"/>
        </w:rPr>
        <w:t xml:space="preserve">the term ‘must’ is used to describe the obligation on the provider to undertake this action. For these actions the </w:t>
      </w:r>
      <w:r w:rsidR="000A44A5" w:rsidRPr="0084743E">
        <w:rPr>
          <w:rFonts w:ascii="Arial" w:hAnsi="Arial" w:cs="Arial"/>
          <w:color w:val="000000"/>
        </w:rPr>
        <w:t xml:space="preserve">education associates </w:t>
      </w:r>
      <w:r w:rsidR="007C7855" w:rsidRPr="0084743E">
        <w:rPr>
          <w:rFonts w:ascii="Arial" w:hAnsi="Arial" w:cs="Arial"/>
          <w:color w:val="000000"/>
        </w:rPr>
        <w:t>must</w:t>
      </w:r>
      <w:r w:rsidRPr="0084743E">
        <w:rPr>
          <w:rFonts w:ascii="Arial" w:hAnsi="Arial" w:cs="Arial"/>
          <w:color w:val="000000"/>
        </w:rPr>
        <w:t xml:space="preserve"> stipulate a specific timescale by which the action must be completed or when an update on progress must be provided</w:t>
      </w:r>
      <w:bookmarkEnd w:id="0"/>
      <w:bookmarkEnd w:id="1"/>
      <w:r w:rsidRPr="0084743E">
        <w:rPr>
          <w:rFonts w:ascii="Arial" w:hAnsi="Arial" w:cs="Arial"/>
          <w:color w:val="000000"/>
        </w:rPr>
        <w:t xml:space="preserve">. In their observations on the content of the report, the provider should confirm the anticipated date by which these actions will be completed. </w:t>
      </w:r>
      <w:bookmarkStart w:id="2" w:name="_Hlk48834274"/>
      <w:r w:rsidRPr="0084743E">
        <w:rPr>
          <w:rFonts w:ascii="Arial" w:hAnsi="Arial" w:cs="Arial"/>
          <w:color w:val="000000"/>
        </w:rPr>
        <w:t>Where an action would improve how a Requirement is met, the term ‘should’ is used and for these actions there will be no due date stipulated</w:t>
      </w:r>
      <w:bookmarkEnd w:id="2"/>
      <w:r w:rsidRPr="0084743E">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6. The </w:t>
      </w:r>
      <w:r w:rsidR="006630F1" w:rsidRPr="0084743E">
        <w:rPr>
          <w:rFonts w:ascii="Arial" w:hAnsi="Arial" w:cs="Arial"/>
          <w:color w:val="000000"/>
        </w:rPr>
        <w:t>E</w:t>
      </w:r>
      <w:r w:rsidR="000A44A5" w:rsidRPr="0084743E">
        <w:rPr>
          <w:rFonts w:ascii="Arial" w:hAnsi="Arial" w:cs="Arial"/>
          <w:color w:val="000000"/>
        </w:rPr>
        <w:t xml:space="preserve">ducation Quality Assurance </w:t>
      </w:r>
      <w:r w:rsidRPr="0084743E">
        <w:rPr>
          <w:rFonts w:ascii="Arial" w:hAnsi="Arial" w:cs="Arial"/>
          <w:color w:val="000000"/>
        </w:rPr>
        <w:t xml:space="preserve">team aims to send an initial draft of the inspection report to the provider within two months of the conclusion of the inspection. The provider of the qualification </w:t>
      </w:r>
      <w:proofErr w:type="gramStart"/>
      <w:r w:rsidRPr="0084743E">
        <w:rPr>
          <w:rFonts w:ascii="Arial" w:hAnsi="Arial" w:cs="Arial"/>
          <w:color w:val="000000"/>
        </w:rPr>
        <w:t>has the opportunity to</w:t>
      </w:r>
      <w:proofErr w:type="gramEnd"/>
      <w:r w:rsidRPr="0084743E">
        <w:rPr>
          <w:rFonts w:ascii="Arial" w:hAnsi="Arial" w:cs="Arial"/>
          <w:color w:val="000000"/>
        </w:rPr>
        <w:t xml:space="preserve">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84743E" w:rsidRDefault="00072B60" w:rsidP="003835BD">
      <w:pPr>
        <w:autoSpaceDE w:val="0"/>
        <w:autoSpaceDN w:val="0"/>
        <w:adjustRightInd w:val="0"/>
        <w:spacing w:after="0" w:line="240" w:lineRule="auto"/>
        <w:rPr>
          <w:rFonts w:ascii="Calibri" w:hAnsi="Calibri" w:cs="Calibri"/>
          <w:color w:val="1F3864" w:themeColor="accent1" w:themeShade="80"/>
          <w:sz w:val="28"/>
        </w:rPr>
      </w:pPr>
      <w:r w:rsidRPr="0084743E">
        <w:rPr>
          <w:rFonts w:ascii="Arial" w:hAnsi="Arial" w:cs="Arial"/>
          <w:color w:val="000000"/>
        </w:rPr>
        <w:t>7. The final version of the report and the provider’s observations are published on the GDC websit</w:t>
      </w:r>
      <w:r w:rsidR="00102531" w:rsidRPr="0084743E">
        <w:rPr>
          <w:rFonts w:ascii="Arial" w:hAnsi="Arial" w:cs="Arial"/>
          <w:color w:val="000000"/>
        </w:rPr>
        <w:t>e.</w:t>
      </w:r>
    </w:p>
    <w:sectPr w:rsidR="00D331B5" w:rsidRPr="0084743E" w:rsidSect="00CB6E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A82B" w14:textId="77777777" w:rsidR="0096188D" w:rsidRDefault="0096188D">
      <w:pPr>
        <w:spacing w:after="0" w:line="240" w:lineRule="auto"/>
      </w:pPr>
      <w:r>
        <w:separator/>
      </w:r>
    </w:p>
  </w:endnote>
  <w:endnote w:type="continuationSeparator" w:id="0">
    <w:p w14:paraId="0EEF4516" w14:textId="77777777" w:rsidR="0096188D" w:rsidRDefault="0096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6A52" w14:textId="77777777" w:rsidR="0096188D" w:rsidRDefault="0096188D">
      <w:pPr>
        <w:spacing w:after="0" w:line="240" w:lineRule="auto"/>
      </w:pPr>
      <w:r>
        <w:separator/>
      </w:r>
    </w:p>
  </w:footnote>
  <w:footnote w:type="continuationSeparator" w:id="0">
    <w:p w14:paraId="701430CF" w14:textId="77777777" w:rsidR="0096188D" w:rsidRDefault="0096188D">
      <w:pPr>
        <w:spacing w:after="0" w:line="240" w:lineRule="auto"/>
      </w:pPr>
      <w:r>
        <w:continuationSeparator/>
      </w:r>
    </w:p>
  </w:footnote>
  <w:footnote w:id="1">
    <w:p w14:paraId="51B743D2" w14:textId="783F00FD" w:rsidR="00F671FD" w:rsidRDefault="00F671FD">
      <w:pPr>
        <w:pStyle w:val="FootnoteText"/>
      </w:pPr>
      <w:r>
        <w:rPr>
          <w:rStyle w:val="FootnoteReference"/>
        </w:rPr>
        <w:footnoteRef/>
      </w:r>
      <w:r>
        <w:t xml:space="preserve"> All Requirements within the </w:t>
      </w:r>
      <w:r>
        <w:rPr>
          <w:i/>
        </w:rPr>
        <w:t xml:space="preserve">Standards for Education </w:t>
      </w:r>
      <w:r>
        <w:t>are applicable for all programmes</w:t>
      </w:r>
      <w:r w:rsidR="00292831">
        <w:t xml:space="preserve"> unless otherwise stated</w:t>
      </w:r>
      <w:r>
        <w:t xml:space="preserve">. Specific </w:t>
      </w:r>
      <w:r w:rsidR="000957F1">
        <w:t>r</w:t>
      </w:r>
      <w:r>
        <w:t xml:space="preserve">equirements will be examined through inspection activity </w:t>
      </w:r>
      <w:r w:rsidR="000957F1">
        <w:t>and will be identified</w:t>
      </w:r>
      <w:r>
        <w:t xml:space="preserve"> via risk analysis processes or due to current thematic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9"/>
    <w:multiLevelType w:val="hybridMultilevel"/>
    <w:tmpl w:val="CBF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41E"/>
    <w:multiLevelType w:val="hybridMultilevel"/>
    <w:tmpl w:val="AC2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0"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652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626471983">
    <w:abstractNumId w:val="11"/>
  </w:num>
  <w:num w:numId="3" w16cid:durableId="53368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531871">
    <w:abstractNumId w:val="13"/>
  </w:num>
  <w:num w:numId="5" w16cid:durableId="1360619776">
    <w:abstractNumId w:val="1"/>
  </w:num>
  <w:num w:numId="6" w16cid:durableId="1751153588">
    <w:abstractNumId w:val="8"/>
  </w:num>
  <w:num w:numId="7" w16cid:durableId="614483974">
    <w:abstractNumId w:val="10"/>
  </w:num>
  <w:num w:numId="8" w16cid:durableId="1459302264">
    <w:abstractNumId w:val="4"/>
  </w:num>
  <w:num w:numId="9" w16cid:durableId="458107587">
    <w:abstractNumId w:val="6"/>
  </w:num>
  <w:num w:numId="10" w16cid:durableId="1563249575">
    <w:abstractNumId w:val="5"/>
  </w:num>
  <w:num w:numId="11" w16cid:durableId="1605261663">
    <w:abstractNumId w:val="7"/>
  </w:num>
  <w:num w:numId="12" w16cid:durableId="445122747">
    <w:abstractNumId w:val="2"/>
  </w:num>
  <w:num w:numId="13" w16cid:durableId="1450392131">
    <w:abstractNumId w:val="14"/>
  </w:num>
  <w:num w:numId="14" w16cid:durableId="1257056569">
    <w:abstractNumId w:val="12"/>
  </w:num>
  <w:num w:numId="15" w16cid:durableId="1188907229">
    <w:abstractNumId w:val="3"/>
  </w:num>
  <w:num w:numId="16" w16cid:durableId="114130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17B7"/>
    <w:rsid w:val="0000445E"/>
    <w:rsid w:val="00004AF4"/>
    <w:rsid w:val="00004EC8"/>
    <w:rsid w:val="00013A4A"/>
    <w:rsid w:val="000179D0"/>
    <w:rsid w:val="00021840"/>
    <w:rsid w:val="00021AC6"/>
    <w:rsid w:val="00023C6B"/>
    <w:rsid w:val="00031E79"/>
    <w:rsid w:val="00034B65"/>
    <w:rsid w:val="00036556"/>
    <w:rsid w:val="0003751A"/>
    <w:rsid w:val="00043B0E"/>
    <w:rsid w:val="0005020E"/>
    <w:rsid w:val="00051044"/>
    <w:rsid w:val="0005418F"/>
    <w:rsid w:val="000544D5"/>
    <w:rsid w:val="0006306B"/>
    <w:rsid w:val="00072B60"/>
    <w:rsid w:val="0007333A"/>
    <w:rsid w:val="00080223"/>
    <w:rsid w:val="000809D2"/>
    <w:rsid w:val="00082F5C"/>
    <w:rsid w:val="00091B20"/>
    <w:rsid w:val="00093A44"/>
    <w:rsid w:val="000957F1"/>
    <w:rsid w:val="000A3A2A"/>
    <w:rsid w:val="000A44A5"/>
    <w:rsid w:val="000A6A8E"/>
    <w:rsid w:val="000B1039"/>
    <w:rsid w:val="000B26D7"/>
    <w:rsid w:val="000B755A"/>
    <w:rsid w:val="000C4161"/>
    <w:rsid w:val="000C5FBE"/>
    <w:rsid w:val="000D3DF6"/>
    <w:rsid w:val="000D3EF0"/>
    <w:rsid w:val="000D546E"/>
    <w:rsid w:val="000E30B2"/>
    <w:rsid w:val="000E3F78"/>
    <w:rsid w:val="000F3DF9"/>
    <w:rsid w:val="00102531"/>
    <w:rsid w:val="00107807"/>
    <w:rsid w:val="0011337F"/>
    <w:rsid w:val="001146C8"/>
    <w:rsid w:val="0011723A"/>
    <w:rsid w:val="00122EEC"/>
    <w:rsid w:val="00123852"/>
    <w:rsid w:val="00126E90"/>
    <w:rsid w:val="001303D9"/>
    <w:rsid w:val="0013067E"/>
    <w:rsid w:val="001341A6"/>
    <w:rsid w:val="00134CA4"/>
    <w:rsid w:val="00141CE7"/>
    <w:rsid w:val="00143322"/>
    <w:rsid w:val="00143716"/>
    <w:rsid w:val="00151834"/>
    <w:rsid w:val="00157AA3"/>
    <w:rsid w:val="00161EA4"/>
    <w:rsid w:val="00163C93"/>
    <w:rsid w:val="00167BBE"/>
    <w:rsid w:val="00167D74"/>
    <w:rsid w:val="00174BAB"/>
    <w:rsid w:val="0018553B"/>
    <w:rsid w:val="00186B26"/>
    <w:rsid w:val="001875A5"/>
    <w:rsid w:val="001914FD"/>
    <w:rsid w:val="001960C1"/>
    <w:rsid w:val="001B2332"/>
    <w:rsid w:val="001B32B3"/>
    <w:rsid w:val="001B5978"/>
    <w:rsid w:val="001C2BFA"/>
    <w:rsid w:val="001C50C7"/>
    <w:rsid w:val="001C58F7"/>
    <w:rsid w:val="001C7E2A"/>
    <w:rsid w:val="001D3EDB"/>
    <w:rsid w:val="001D4762"/>
    <w:rsid w:val="001D5C34"/>
    <w:rsid w:val="001E392D"/>
    <w:rsid w:val="001E5273"/>
    <w:rsid w:val="001E7284"/>
    <w:rsid w:val="001F345E"/>
    <w:rsid w:val="001F3499"/>
    <w:rsid w:val="001F608F"/>
    <w:rsid w:val="001F7768"/>
    <w:rsid w:val="00200492"/>
    <w:rsid w:val="002038F2"/>
    <w:rsid w:val="00204D49"/>
    <w:rsid w:val="00204EAF"/>
    <w:rsid w:val="00205304"/>
    <w:rsid w:val="00205E56"/>
    <w:rsid w:val="002103A3"/>
    <w:rsid w:val="00213A4D"/>
    <w:rsid w:val="00215540"/>
    <w:rsid w:val="0021586B"/>
    <w:rsid w:val="002234B0"/>
    <w:rsid w:val="00224EB0"/>
    <w:rsid w:val="00226BAF"/>
    <w:rsid w:val="00230783"/>
    <w:rsid w:val="002546AF"/>
    <w:rsid w:val="00261D76"/>
    <w:rsid w:val="002737CD"/>
    <w:rsid w:val="00273B4B"/>
    <w:rsid w:val="00276BEB"/>
    <w:rsid w:val="0027795C"/>
    <w:rsid w:val="00287064"/>
    <w:rsid w:val="0029236A"/>
    <w:rsid w:val="00292831"/>
    <w:rsid w:val="0029495F"/>
    <w:rsid w:val="00295DEC"/>
    <w:rsid w:val="0029613F"/>
    <w:rsid w:val="0029743A"/>
    <w:rsid w:val="002A3A71"/>
    <w:rsid w:val="002A3B75"/>
    <w:rsid w:val="002A44CA"/>
    <w:rsid w:val="002A5082"/>
    <w:rsid w:val="002A6931"/>
    <w:rsid w:val="002A6E2C"/>
    <w:rsid w:val="002B0F41"/>
    <w:rsid w:val="002B380A"/>
    <w:rsid w:val="002B4BDF"/>
    <w:rsid w:val="002B7692"/>
    <w:rsid w:val="002C1670"/>
    <w:rsid w:val="002C1923"/>
    <w:rsid w:val="002C58DA"/>
    <w:rsid w:val="002D0293"/>
    <w:rsid w:val="002D070E"/>
    <w:rsid w:val="002D3F8A"/>
    <w:rsid w:val="002D408A"/>
    <w:rsid w:val="002D6189"/>
    <w:rsid w:val="002D78AB"/>
    <w:rsid w:val="002E6007"/>
    <w:rsid w:val="002F161B"/>
    <w:rsid w:val="002F3021"/>
    <w:rsid w:val="002F4712"/>
    <w:rsid w:val="0030121C"/>
    <w:rsid w:val="00303FD0"/>
    <w:rsid w:val="00304D24"/>
    <w:rsid w:val="00311D1F"/>
    <w:rsid w:val="00313404"/>
    <w:rsid w:val="003134AE"/>
    <w:rsid w:val="0031518C"/>
    <w:rsid w:val="00325ADE"/>
    <w:rsid w:val="003279A2"/>
    <w:rsid w:val="00331423"/>
    <w:rsid w:val="00332AB1"/>
    <w:rsid w:val="00332F65"/>
    <w:rsid w:val="00345DEC"/>
    <w:rsid w:val="003545D7"/>
    <w:rsid w:val="00354DBD"/>
    <w:rsid w:val="00365487"/>
    <w:rsid w:val="00367982"/>
    <w:rsid w:val="00372A9C"/>
    <w:rsid w:val="003835BD"/>
    <w:rsid w:val="0038368C"/>
    <w:rsid w:val="0038522C"/>
    <w:rsid w:val="003855E1"/>
    <w:rsid w:val="003878F0"/>
    <w:rsid w:val="00392098"/>
    <w:rsid w:val="00394800"/>
    <w:rsid w:val="003B588A"/>
    <w:rsid w:val="003B5AC3"/>
    <w:rsid w:val="003B65CB"/>
    <w:rsid w:val="003B74D0"/>
    <w:rsid w:val="003C0A07"/>
    <w:rsid w:val="003C39AD"/>
    <w:rsid w:val="003C3BE3"/>
    <w:rsid w:val="003C4874"/>
    <w:rsid w:val="003C6751"/>
    <w:rsid w:val="003C6FCB"/>
    <w:rsid w:val="003C7F68"/>
    <w:rsid w:val="003D0028"/>
    <w:rsid w:val="003D0783"/>
    <w:rsid w:val="003D2602"/>
    <w:rsid w:val="003D2936"/>
    <w:rsid w:val="003D422A"/>
    <w:rsid w:val="003D5D50"/>
    <w:rsid w:val="003E0458"/>
    <w:rsid w:val="003E61DE"/>
    <w:rsid w:val="003F1882"/>
    <w:rsid w:val="003F48DD"/>
    <w:rsid w:val="003F5F16"/>
    <w:rsid w:val="004020F7"/>
    <w:rsid w:val="00404940"/>
    <w:rsid w:val="004058BB"/>
    <w:rsid w:val="004065F3"/>
    <w:rsid w:val="0041243B"/>
    <w:rsid w:val="004130E3"/>
    <w:rsid w:val="004143EE"/>
    <w:rsid w:val="00415A60"/>
    <w:rsid w:val="0041660F"/>
    <w:rsid w:val="004213EA"/>
    <w:rsid w:val="00426B85"/>
    <w:rsid w:val="0043038D"/>
    <w:rsid w:val="004365CD"/>
    <w:rsid w:val="004373D0"/>
    <w:rsid w:val="00442513"/>
    <w:rsid w:val="00447778"/>
    <w:rsid w:val="0045073C"/>
    <w:rsid w:val="00450E1A"/>
    <w:rsid w:val="00454C64"/>
    <w:rsid w:val="00456B93"/>
    <w:rsid w:val="00456FCA"/>
    <w:rsid w:val="00460CE9"/>
    <w:rsid w:val="00466C81"/>
    <w:rsid w:val="00475ECF"/>
    <w:rsid w:val="00476061"/>
    <w:rsid w:val="00476BAA"/>
    <w:rsid w:val="0047751D"/>
    <w:rsid w:val="00484BB2"/>
    <w:rsid w:val="004867BB"/>
    <w:rsid w:val="00493735"/>
    <w:rsid w:val="00494CDA"/>
    <w:rsid w:val="004A1E12"/>
    <w:rsid w:val="004A3575"/>
    <w:rsid w:val="004A6178"/>
    <w:rsid w:val="004C358C"/>
    <w:rsid w:val="004C4F8F"/>
    <w:rsid w:val="004D09E3"/>
    <w:rsid w:val="004D1A93"/>
    <w:rsid w:val="004D1C09"/>
    <w:rsid w:val="004D4A83"/>
    <w:rsid w:val="004D5BF4"/>
    <w:rsid w:val="004E0CB1"/>
    <w:rsid w:val="004E22C0"/>
    <w:rsid w:val="004E3EAD"/>
    <w:rsid w:val="004F1617"/>
    <w:rsid w:val="004F1BDC"/>
    <w:rsid w:val="004F22E0"/>
    <w:rsid w:val="004F644B"/>
    <w:rsid w:val="00500216"/>
    <w:rsid w:val="005012CA"/>
    <w:rsid w:val="00503F30"/>
    <w:rsid w:val="005068C9"/>
    <w:rsid w:val="00507FBA"/>
    <w:rsid w:val="00510633"/>
    <w:rsid w:val="00511AE6"/>
    <w:rsid w:val="0051680C"/>
    <w:rsid w:val="005234FE"/>
    <w:rsid w:val="005245F1"/>
    <w:rsid w:val="005277AE"/>
    <w:rsid w:val="00527931"/>
    <w:rsid w:val="00532CFF"/>
    <w:rsid w:val="00534F43"/>
    <w:rsid w:val="00540522"/>
    <w:rsid w:val="00542BD8"/>
    <w:rsid w:val="005475C8"/>
    <w:rsid w:val="005509A3"/>
    <w:rsid w:val="005513E2"/>
    <w:rsid w:val="0055308B"/>
    <w:rsid w:val="00554BBE"/>
    <w:rsid w:val="00560202"/>
    <w:rsid w:val="00561367"/>
    <w:rsid w:val="00561AFB"/>
    <w:rsid w:val="00564251"/>
    <w:rsid w:val="00567B03"/>
    <w:rsid w:val="00570C89"/>
    <w:rsid w:val="00573605"/>
    <w:rsid w:val="0059197B"/>
    <w:rsid w:val="00593442"/>
    <w:rsid w:val="00595222"/>
    <w:rsid w:val="0059568E"/>
    <w:rsid w:val="005A2288"/>
    <w:rsid w:val="005A471F"/>
    <w:rsid w:val="005A69FD"/>
    <w:rsid w:val="005B18D6"/>
    <w:rsid w:val="005B30C3"/>
    <w:rsid w:val="005B5D66"/>
    <w:rsid w:val="005C2D6C"/>
    <w:rsid w:val="005C64DF"/>
    <w:rsid w:val="005C7BB5"/>
    <w:rsid w:val="005D29BD"/>
    <w:rsid w:val="005D5619"/>
    <w:rsid w:val="005E066D"/>
    <w:rsid w:val="005E172A"/>
    <w:rsid w:val="005E3C3C"/>
    <w:rsid w:val="005E55D2"/>
    <w:rsid w:val="005E6834"/>
    <w:rsid w:val="005F0CA0"/>
    <w:rsid w:val="005F2472"/>
    <w:rsid w:val="005F253A"/>
    <w:rsid w:val="00604EF8"/>
    <w:rsid w:val="0060624E"/>
    <w:rsid w:val="0061295B"/>
    <w:rsid w:val="006158BE"/>
    <w:rsid w:val="00617AFB"/>
    <w:rsid w:val="0062015A"/>
    <w:rsid w:val="00620BCE"/>
    <w:rsid w:val="00626F23"/>
    <w:rsid w:val="00630BEA"/>
    <w:rsid w:val="00631EE2"/>
    <w:rsid w:val="00632433"/>
    <w:rsid w:val="006354B8"/>
    <w:rsid w:val="00641B11"/>
    <w:rsid w:val="00641FE2"/>
    <w:rsid w:val="00642C0F"/>
    <w:rsid w:val="00642CBA"/>
    <w:rsid w:val="006433E3"/>
    <w:rsid w:val="0065324F"/>
    <w:rsid w:val="00661491"/>
    <w:rsid w:val="006630F1"/>
    <w:rsid w:val="006642D9"/>
    <w:rsid w:val="00664C47"/>
    <w:rsid w:val="006669CD"/>
    <w:rsid w:val="00667481"/>
    <w:rsid w:val="00670578"/>
    <w:rsid w:val="0067188F"/>
    <w:rsid w:val="00671AB4"/>
    <w:rsid w:val="00671D27"/>
    <w:rsid w:val="00672232"/>
    <w:rsid w:val="006725DA"/>
    <w:rsid w:val="00673EAC"/>
    <w:rsid w:val="006743C2"/>
    <w:rsid w:val="00675DD8"/>
    <w:rsid w:val="006767FC"/>
    <w:rsid w:val="00676FC5"/>
    <w:rsid w:val="006802AB"/>
    <w:rsid w:val="006809CD"/>
    <w:rsid w:val="00682437"/>
    <w:rsid w:val="00682FCA"/>
    <w:rsid w:val="00684F28"/>
    <w:rsid w:val="00685420"/>
    <w:rsid w:val="0069165A"/>
    <w:rsid w:val="00692942"/>
    <w:rsid w:val="006A05F9"/>
    <w:rsid w:val="006A34D8"/>
    <w:rsid w:val="006A48E7"/>
    <w:rsid w:val="006A727D"/>
    <w:rsid w:val="006B5F1C"/>
    <w:rsid w:val="006B6026"/>
    <w:rsid w:val="006B747C"/>
    <w:rsid w:val="006C10DC"/>
    <w:rsid w:val="006C4F70"/>
    <w:rsid w:val="006C599E"/>
    <w:rsid w:val="006C77E5"/>
    <w:rsid w:val="006D3D3F"/>
    <w:rsid w:val="006D6479"/>
    <w:rsid w:val="006E2DE3"/>
    <w:rsid w:val="006E37EC"/>
    <w:rsid w:val="006E4F00"/>
    <w:rsid w:val="006E5BF0"/>
    <w:rsid w:val="006F2086"/>
    <w:rsid w:val="007053A8"/>
    <w:rsid w:val="00710557"/>
    <w:rsid w:val="00710FB7"/>
    <w:rsid w:val="00711964"/>
    <w:rsid w:val="007123C8"/>
    <w:rsid w:val="007133AB"/>
    <w:rsid w:val="0072174B"/>
    <w:rsid w:val="00733160"/>
    <w:rsid w:val="0073447D"/>
    <w:rsid w:val="00735D16"/>
    <w:rsid w:val="007421A8"/>
    <w:rsid w:val="00742F0A"/>
    <w:rsid w:val="0074339B"/>
    <w:rsid w:val="007436D2"/>
    <w:rsid w:val="007445EF"/>
    <w:rsid w:val="00746853"/>
    <w:rsid w:val="00750FB4"/>
    <w:rsid w:val="007525E4"/>
    <w:rsid w:val="007536A9"/>
    <w:rsid w:val="007538B4"/>
    <w:rsid w:val="0075694B"/>
    <w:rsid w:val="007578FF"/>
    <w:rsid w:val="00765CB5"/>
    <w:rsid w:val="00767F91"/>
    <w:rsid w:val="00770FE3"/>
    <w:rsid w:val="007743A4"/>
    <w:rsid w:val="00775B73"/>
    <w:rsid w:val="00782886"/>
    <w:rsid w:val="0078346F"/>
    <w:rsid w:val="007859A5"/>
    <w:rsid w:val="007866A7"/>
    <w:rsid w:val="00790925"/>
    <w:rsid w:val="0079124D"/>
    <w:rsid w:val="00796926"/>
    <w:rsid w:val="007A41B1"/>
    <w:rsid w:val="007A45A8"/>
    <w:rsid w:val="007B0576"/>
    <w:rsid w:val="007B0D15"/>
    <w:rsid w:val="007B42BE"/>
    <w:rsid w:val="007C07AB"/>
    <w:rsid w:val="007C15CA"/>
    <w:rsid w:val="007C17C3"/>
    <w:rsid w:val="007C53B7"/>
    <w:rsid w:val="007C7855"/>
    <w:rsid w:val="007D3444"/>
    <w:rsid w:val="007D461A"/>
    <w:rsid w:val="007D4DDE"/>
    <w:rsid w:val="007D501E"/>
    <w:rsid w:val="007D5150"/>
    <w:rsid w:val="007D7A72"/>
    <w:rsid w:val="007E15E3"/>
    <w:rsid w:val="007E5728"/>
    <w:rsid w:val="007F2128"/>
    <w:rsid w:val="007F2B53"/>
    <w:rsid w:val="007F5523"/>
    <w:rsid w:val="007F6690"/>
    <w:rsid w:val="008011B9"/>
    <w:rsid w:val="00806D2D"/>
    <w:rsid w:val="00812B97"/>
    <w:rsid w:val="008158A9"/>
    <w:rsid w:val="0082423D"/>
    <w:rsid w:val="00831FC8"/>
    <w:rsid w:val="0084686C"/>
    <w:rsid w:val="0084743E"/>
    <w:rsid w:val="00851B34"/>
    <w:rsid w:val="00855B38"/>
    <w:rsid w:val="0085660F"/>
    <w:rsid w:val="008621CD"/>
    <w:rsid w:val="00866480"/>
    <w:rsid w:val="008669B5"/>
    <w:rsid w:val="00882539"/>
    <w:rsid w:val="008856CC"/>
    <w:rsid w:val="00885A30"/>
    <w:rsid w:val="00891256"/>
    <w:rsid w:val="0089339E"/>
    <w:rsid w:val="00896F94"/>
    <w:rsid w:val="008A386E"/>
    <w:rsid w:val="008A6644"/>
    <w:rsid w:val="008B0FE1"/>
    <w:rsid w:val="008B21F6"/>
    <w:rsid w:val="008C0B06"/>
    <w:rsid w:val="008C2124"/>
    <w:rsid w:val="008C71F3"/>
    <w:rsid w:val="008C772C"/>
    <w:rsid w:val="008D1657"/>
    <w:rsid w:val="008D5325"/>
    <w:rsid w:val="008E1269"/>
    <w:rsid w:val="008E4A71"/>
    <w:rsid w:val="008F1213"/>
    <w:rsid w:val="008F4D50"/>
    <w:rsid w:val="008F5215"/>
    <w:rsid w:val="00900C98"/>
    <w:rsid w:val="00902A1E"/>
    <w:rsid w:val="00906DD0"/>
    <w:rsid w:val="0091124E"/>
    <w:rsid w:val="00913C9A"/>
    <w:rsid w:val="009201CA"/>
    <w:rsid w:val="0092133F"/>
    <w:rsid w:val="00923029"/>
    <w:rsid w:val="0092365F"/>
    <w:rsid w:val="009237A1"/>
    <w:rsid w:val="0092708C"/>
    <w:rsid w:val="00927644"/>
    <w:rsid w:val="0093145B"/>
    <w:rsid w:val="00937FD0"/>
    <w:rsid w:val="00941099"/>
    <w:rsid w:val="0094499D"/>
    <w:rsid w:val="00946ADC"/>
    <w:rsid w:val="00947417"/>
    <w:rsid w:val="00947F28"/>
    <w:rsid w:val="0095065E"/>
    <w:rsid w:val="00950D69"/>
    <w:rsid w:val="009515BA"/>
    <w:rsid w:val="009522E7"/>
    <w:rsid w:val="009536B9"/>
    <w:rsid w:val="00953F4F"/>
    <w:rsid w:val="0096188D"/>
    <w:rsid w:val="009642CA"/>
    <w:rsid w:val="00966A70"/>
    <w:rsid w:val="00967684"/>
    <w:rsid w:val="00973FED"/>
    <w:rsid w:val="0097580A"/>
    <w:rsid w:val="00982CFB"/>
    <w:rsid w:val="0098457E"/>
    <w:rsid w:val="00987768"/>
    <w:rsid w:val="009929B1"/>
    <w:rsid w:val="00993DE9"/>
    <w:rsid w:val="00996083"/>
    <w:rsid w:val="009A22FC"/>
    <w:rsid w:val="009A512D"/>
    <w:rsid w:val="009B3077"/>
    <w:rsid w:val="009B329B"/>
    <w:rsid w:val="009B6D67"/>
    <w:rsid w:val="009C1CC9"/>
    <w:rsid w:val="009C5082"/>
    <w:rsid w:val="009D26F7"/>
    <w:rsid w:val="009E2A5B"/>
    <w:rsid w:val="009E2C57"/>
    <w:rsid w:val="009E5996"/>
    <w:rsid w:val="009E698D"/>
    <w:rsid w:val="009F0C4E"/>
    <w:rsid w:val="009F3484"/>
    <w:rsid w:val="009F6EA0"/>
    <w:rsid w:val="00A046EA"/>
    <w:rsid w:val="00A0472A"/>
    <w:rsid w:val="00A11AB1"/>
    <w:rsid w:val="00A12BAA"/>
    <w:rsid w:val="00A208AA"/>
    <w:rsid w:val="00A229F0"/>
    <w:rsid w:val="00A24EB8"/>
    <w:rsid w:val="00A25AB9"/>
    <w:rsid w:val="00A25B60"/>
    <w:rsid w:val="00A25C48"/>
    <w:rsid w:val="00A317E7"/>
    <w:rsid w:val="00A3292A"/>
    <w:rsid w:val="00A342B9"/>
    <w:rsid w:val="00A361B6"/>
    <w:rsid w:val="00A403E6"/>
    <w:rsid w:val="00A43737"/>
    <w:rsid w:val="00A534AF"/>
    <w:rsid w:val="00A636D1"/>
    <w:rsid w:val="00A71D48"/>
    <w:rsid w:val="00A738CE"/>
    <w:rsid w:val="00A74039"/>
    <w:rsid w:val="00A80DD9"/>
    <w:rsid w:val="00A87ABA"/>
    <w:rsid w:val="00A977C2"/>
    <w:rsid w:val="00AA1032"/>
    <w:rsid w:val="00AA1E39"/>
    <w:rsid w:val="00AA3488"/>
    <w:rsid w:val="00AA3EB3"/>
    <w:rsid w:val="00AB0549"/>
    <w:rsid w:val="00AB0AAF"/>
    <w:rsid w:val="00AB0B32"/>
    <w:rsid w:val="00AB7513"/>
    <w:rsid w:val="00AC1360"/>
    <w:rsid w:val="00AC4B54"/>
    <w:rsid w:val="00AE1A08"/>
    <w:rsid w:val="00AE21EE"/>
    <w:rsid w:val="00AE3061"/>
    <w:rsid w:val="00AE3359"/>
    <w:rsid w:val="00AE7E29"/>
    <w:rsid w:val="00AF316A"/>
    <w:rsid w:val="00AF320F"/>
    <w:rsid w:val="00AF48FB"/>
    <w:rsid w:val="00B00410"/>
    <w:rsid w:val="00B009B7"/>
    <w:rsid w:val="00B0222A"/>
    <w:rsid w:val="00B03315"/>
    <w:rsid w:val="00B03DE4"/>
    <w:rsid w:val="00B063EE"/>
    <w:rsid w:val="00B064B6"/>
    <w:rsid w:val="00B06FE2"/>
    <w:rsid w:val="00B1044C"/>
    <w:rsid w:val="00B10A18"/>
    <w:rsid w:val="00B13C4A"/>
    <w:rsid w:val="00B15726"/>
    <w:rsid w:val="00B1746A"/>
    <w:rsid w:val="00B22648"/>
    <w:rsid w:val="00B23BF8"/>
    <w:rsid w:val="00B32146"/>
    <w:rsid w:val="00B44F04"/>
    <w:rsid w:val="00B47C44"/>
    <w:rsid w:val="00B5605D"/>
    <w:rsid w:val="00B610C7"/>
    <w:rsid w:val="00B62CA1"/>
    <w:rsid w:val="00B639B4"/>
    <w:rsid w:val="00B64908"/>
    <w:rsid w:val="00B661C6"/>
    <w:rsid w:val="00B709BD"/>
    <w:rsid w:val="00B70CE3"/>
    <w:rsid w:val="00B73BD9"/>
    <w:rsid w:val="00B818DE"/>
    <w:rsid w:val="00B868AD"/>
    <w:rsid w:val="00B949C8"/>
    <w:rsid w:val="00B9720D"/>
    <w:rsid w:val="00BA0A18"/>
    <w:rsid w:val="00BB0BE9"/>
    <w:rsid w:val="00BB4914"/>
    <w:rsid w:val="00BB784C"/>
    <w:rsid w:val="00BC0D91"/>
    <w:rsid w:val="00BC7C2A"/>
    <w:rsid w:val="00BD128D"/>
    <w:rsid w:val="00BD4BB3"/>
    <w:rsid w:val="00BE085C"/>
    <w:rsid w:val="00BE3684"/>
    <w:rsid w:val="00BE5AB5"/>
    <w:rsid w:val="00BE5BA9"/>
    <w:rsid w:val="00C02842"/>
    <w:rsid w:val="00C03171"/>
    <w:rsid w:val="00C054B1"/>
    <w:rsid w:val="00C06A41"/>
    <w:rsid w:val="00C07285"/>
    <w:rsid w:val="00C126E2"/>
    <w:rsid w:val="00C13675"/>
    <w:rsid w:val="00C16D57"/>
    <w:rsid w:val="00C17907"/>
    <w:rsid w:val="00C20865"/>
    <w:rsid w:val="00C216A7"/>
    <w:rsid w:val="00C32C19"/>
    <w:rsid w:val="00C3327C"/>
    <w:rsid w:val="00C3538D"/>
    <w:rsid w:val="00C40663"/>
    <w:rsid w:val="00C53686"/>
    <w:rsid w:val="00C54395"/>
    <w:rsid w:val="00C554CD"/>
    <w:rsid w:val="00C56BAA"/>
    <w:rsid w:val="00C6190C"/>
    <w:rsid w:val="00C642B6"/>
    <w:rsid w:val="00C711EE"/>
    <w:rsid w:val="00C7176D"/>
    <w:rsid w:val="00C718E9"/>
    <w:rsid w:val="00C71F8E"/>
    <w:rsid w:val="00C73201"/>
    <w:rsid w:val="00C7627D"/>
    <w:rsid w:val="00C80B17"/>
    <w:rsid w:val="00C8314C"/>
    <w:rsid w:val="00C87AE0"/>
    <w:rsid w:val="00C93AFA"/>
    <w:rsid w:val="00C964B5"/>
    <w:rsid w:val="00CA0E54"/>
    <w:rsid w:val="00CA20C9"/>
    <w:rsid w:val="00CA341A"/>
    <w:rsid w:val="00CA52A9"/>
    <w:rsid w:val="00CA6F48"/>
    <w:rsid w:val="00CB047B"/>
    <w:rsid w:val="00CB0572"/>
    <w:rsid w:val="00CB172C"/>
    <w:rsid w:val="00CB3AF5"/>
    <w:rsid w:val="00CB5521"/>
    <w:rsid w:val="00CB6E6C"/>
    <w:rsid w:val="00CB6EEE"/>
    <w:rsid w:val="00CC1E01"/>
    <w:rsid w:val="00CC360E"/>
    <w:rsid w:val="00CC4B10"/>
    <w:rsid w:val="00CD596C"/>
    <w:rsid w:val="00CD676F"/>
    <w:rsid w:val="00CE0DA2"/>
    <w:rsid w:val="00CE1FEA"/>
    <w:rsid w:val="00CE4D06"/>
    <w:rsid w:val="00CE6554"/>
    <w:rsid w:val="00CF4318"/>
    <w:rsid w:val="00D14A1B"/>
    <w:rsid w:val="00D20FFE"/>
    <w:rsid w:val="00D21AF4"/>
    <w:rsid w:val="00D254AA"/>
    <w:rsid w:val="00D258B9"/>
    <w:rsid w:val="00D331B5"/>
    <w:rsid w:val="00D35599"/>
    <w:rsid w:val="00D37ADC"/>
    <w:rsid w:val="00D47936"/>
    <w:rsid w:val="00D50A24"/>
    <w:rsid w:val="00D50FFB"/>
    <w:rsid w:val="00D56918"/>
    <w:rsid w:val="00D5733B"/>
    <w:rsid w:val="00D61015"/>
    <w:rsid w:val="00D643AD"/>
    <w:rsid w:val="00D672A1"/>
    <w:rsid w:val="00D6764E"/>
    <w:rsid w:val="00D72502"/>
    <w:rsid w:val="00D72F01"/>
    <w:rsid w:val="00D82C2F"/>
    <w:rsid w:val="00D83A0C"/>
    <w:rsid w:val="00D86E98"/>
    <w:rsid w:val="00D877CD"/>
    <w:rsid w:val="00D92F53"/>
    <w:rsid w:val="00D93CB8"/>
    <w:rsid w:val="00D96503"/>
    <w:rsid w:val="00DA1D2E"/>
    <w:rsid w:val="00DA1EF9"/>
    <w:rsid w:val="00DA5BF2"/>
    <w:rsid w:val="00DA6B7C"/>
    <w:rsid w:val="00DA7B01"/>
    <w:rsid w:val="00DA7F12"/>
    <w:rsid w:val="00DB0397"/>
    <w:rsid w:val="00DB4DB3"/>
    <w:rsid w:val="00DB70BF"/>
    <w:rsid w:val="00DC1116"/>
    <w:rsid w:val="00DC2492"/>
    <w:rsid w:val="00DC63C7"/>
    <w:rsid w:val="00DD37F6"/>
    <w:rsid w:val="00DD4CDF"/>
    <w:rsid w:val="00DD5242"/>
    <w:rsid w:val="00DD6406"/>
    <w:rsid w:val="00DE04F1"/>
    <w:rsid w:val="00DE2A82"/>
    <w:rsid w:val="00DF25F5"/>
    <w:rsid w:val="00DF2CC4"/>
    <w:rsid w:val="00DF2F84"/>
    <w:rsid w:val="00DF369E"/>
    <w:rsid w:val="00DF3D0C"/>
    <w:rsid w:val="00DF4F7A"/>
    <w:rsid w:val="00DF584F"/>
    <w:rsid w:val="00DF6AD1"/>
    <w:rsid w:val="00E00AEC"/>
    <w:rsid w:val="00E00E0E"/>
    <w:rsid w:val="00E026B5"/>
    <w:rsid w:val="00E02A38"/>
    <w:rsid w:val="00E02B03"/>
    <w:rsid w:val="00E03513"/>
    <w:rsid w:val="00E04DBF"/>
    <w:rsid w:val="00E05961"/>
    <w:rsid w:val="00E12612"/>
    <w:rsid w:val="00E13FEF"/>
    <w:rsid w:val="00E2148E"/>
    <w:rsid w:val="00E24A89"/>
    <w:rsid w:val="00E310CF"/>
    <w:rsid w:val="00E31396"/>
    <w:rsid w:val="00E33DA0"/>
    <w:rsid w:val="00E35489"/>
    <w:rsid w:val="00E354C6"/>
    <w:rsid w:val="00E35638"/>
    <w:rsid w:val="00E3739C"/>
    <w:rsid w:val="00E41265"/>
    <w:rsid w:val="00E42956"/>
    <w:rsid w:val="00E47444"/>
    <w:rsid w:val="00E508C8"/>
    <w:rsid w:val="00E54A44"/>
    <w:rsid w:val="00E55C09"/>
    <w:rsid w:val="00E55C30"/>
    <w:rsid w:val="00E57997"/>
    <w:rsid w:val="00E64393"/>
    <w:rsid w:val="00E64F87"/>
    <w:rsid w:val="00E66271"/>
    <w:rsid w:val="00E6716D"/>
    <w:rsid w:val="00E672B2"/>
    <w:rsid w:val="00E70F32"/>
    <w:rsid w:val="00E7248C"/>
    <w:rsid w:val="00E72612"/>
    <w:rsid w:val="00E73F6A"/>
    <w:rsid w:val="00E81203"/>
    <w:rsid w:val="00E8344A"/>
    <w:rsid w:val="00E90336"/>
    <w:rsid w:val="00E92BEE"/>
    <w:rsid w:val="00EA0966"/>
    <w:rsid w:val="00EA2031"/>
    <w:rsid w:val="00EA29F3"/>
    <w:rsid w:val="00EA31B2"/>
    <w:rsid w:val="00EC0D08"/>
    <w:rsid w:val="00EC32CD"/>
    <w:rsid w:val="00EC3456"/>
    <w:rsid w:val="00EC73FE"/>
    <w:rsid w:val="00EC7FBB"/>
    <w:rsid w:val="00ED7C9F"/>
    <w:rsid w:val="00EE1F0F"/>
    <w:rsid w:val="00EE78E9"/>
    <w:rsid w:val="00EF0223"/>
    <w:rsid w:val="00EF34FC"/>
    <w:rsid w:val="00EF3CD5"/>
    <w:rsid w:val="00EF5A1B"/>
    <w:rsid w:val="00EF5A87"/>
    <w:rsid w:val="00F007BB"/>
    <w:rsid w:val="00F0414F"/>
    <w:rsid w:val="00F069E2"/>
    <w:rsid w:val="00F07CD7"/>
    <w:rsid w:val="00F126D7"/>
    <w:rsid w:val="00F13DE7"/>
    <w:rsid w:val="00F14E42"/>
    <w:rsid w:val="00F200C7"/>
    <w:rsid w:val="00F27150"/>
    <w:rsid w:val="00F30219"/>
    <w:rsid w:val="00F314DB"/>
    <w:rsid w:val="00F319E7"/>
    <w:rsid w:val="00F40C73"/>
    <w:rsid w:val="00F418FF"/>
    <w:rsid w:val="00F46E4B"/>
    <w:rsid w:val="00F50399"/>
    <w:rsid w:val="00F540C9"/>
    <w:rsid w:val="00F55144"/>
    <w:rsid w:val="00F61410"/>
    <w:rsid w:val="00F61F0D"/>
    <w:rsid w:val="00F63D55"/>
    <w:rsid w:val="00F65218"/>
    <w:rsid w:val="00F65FEA"/>
    <w:rsid w:val="00F671FD"/>
    <w:rsid w:val="00F677A6"/>
    <w:rsid w:val="00F815F2"/>
    <w:rsid w:val="00F81FC4"/>
    <w:rsid w:val="00F85005"/>
    <w:rsid w:val="00F94EE6"/>
    <w:rsid w:val="00FA09B4"/>
    <w:rsid w:val="00FA60E3"/>
    <w:rsid w:val="00FA6320"/>
    <w:rsid w:val="00FB28E7"/>
    <w:rsid w:val="00FB2D93"/>
    <w:rsid w:val="00FB3DFD"/>
    <w:rsid w:val="00FB58CA"/>
    <w:rsid w:val="00FC34CA"/>
    <w:rsid w:val="00FC470B"/>
    <w:rsid w:val="00FC52B7"/>
    <w:rsid w:val="00FD0E0A"/>
    <w:rsid w:val="00FD166B"/>
    <w:rsid w:val="00FD1D5F"/>
    <w:rsid w:val="00FD2E3C"/>
    <w:rsid w:val="00FE078D"/>
    <w:rsid w:val="00FF270A"/>
    <w:rsid w:val="00FF2838"/>
    <w:rsid w:val="00FF4BA1"/>
    <w:rsid w:val="1BC77ADA"/>
    <w:rsid w:val="7E803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21FB4336-3D59-467C-BF12-BE56E913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79003-6e56-4323-9181-2823256ee718">
      <Terms xmlns="http://schemas.microsoft.com/office/infopath/2007/PartnerControls"/>
    </lcf76f155ced4ddcb4097134ff3c332f>
    <TaxCatchAll xmlns="57bdfe54-2ac7-4ec6-8151-2191b86722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C676506736AD4DA9CFAB02659F7C7C" ma:contentTypeVersion="18" ma:contentTypeDescription="Create a new document." ma:contentTypeScope="" ma:versionID="3237dbd3abd0ac1959ed99f3ad2e7d0d">
  <xsd:schema xmlns:xsd="http://www.w3.org/2001/XMLSchema" xmlns:xs="http://www.w3.org/2001/XMLSchema" xmlns:p="http://schemas.microsoft.com/office/2006/metadata/properties" xmlns:ns2="bc679003-6e56-4323-9181-2823256ee718" xmlns:ns3="57bdfe54-2ac7-4ec6-8151-2191b86722a0" targetNamespace="http://schemas.microsoft.com/office/2006/metadata/properties" ma:root="true" ma:fieldsID="12661b7abe11d2f620477dc65fe083b6" ns2:_="" ns3:_="">
    <xsd:import namespace="bc679003-6e56-4323-9181-2823256ee718"/>
    <xsd:import namespace="57bdfe54-2ac7-4ec6-8151-2191b8672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9003-6e56-4323-9181-2823256ee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0a7b7d-7d5e-4007-bb9b-fe056b10f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a7631-dfb8-4abb-982e-6f6f2aa131f3}" ma:internalName="TaxCatchAll" ma:showField="CatchAllData" ma:web="57bdfe54-2ac7-4ec6-8151-2191b8672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2.xml><?xml version="1.0" encoding="utf-8"?>
<ds:datastoreItem xmlns:ds="http://schemas.openxmlformats.org/officeDocument/2006/customXml" ds:itemID="{B53A6353-372B-44F1-B0DE-851FB30D6C68}">
  <ds:schemaRefs>
    <ds:schemaRef ds:uri="http://schemas.microsoft.com/office/2006/metadata/properties"/>
    <ds:schemaRef ds:uri="http://schemas.microsoft.com/office/infopath/2007/PartnerControls"/>
    <ds:schemaRef ds:uri="bc679003-6e56-4323-9181-2823256ee718"/>
    <ds:schemaRef ds:uri="57bdfe54-2ac7-4ec6-8151-2191b86722a0"/>
  </ds:schemaRefs>
</ds:datastoreItem>
</file>

<file path=customXml/itemProps3.xml><?xml version="1.0" encoding="utf-8"?>
<ds:datastoreItem xmlns:ds="http://schemas.openxmlformats.org/officeDocument/2006/customXml" ds:itemID="{BD5C0C81-BFC5-46AD-BAF3-C96B95F7378E}">
  <ds:schemaRefs>
    <ds:schemaRef ds:uri="http://schemas.openxmlformats.org/officeDocument/2006/bibliography"/>
  </ds:schemaRefs>
</ds:datastoreItem>
</file>

<file path=customXml/itemProps4.xml><?xml version="1.0" encoding="utf-8"?>
<ds:datastoreItem xmlns:ds="http://schemas.openxmlformats.org/officeDocument/2006/customXml" ds:itemID="{DD49662D-91E1-4363-BF8E-450C8A36B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79003-6e56-4323-9181-2823256ee718"/>
    <ds:schemaRef ds:uri="57bdfe54-2ac7-4ec6-8151-2191b867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5430</Words>
  <Characters>30956</Characters>
  <Application>Microsoft Office Word</Application>
  <DocSecurity>0</DocSecurity>
  <Lines>257</Lines>
  <Paragraphs>72</Paragraphs>
  <ScaleCrop>false</ScaleCrop>
  <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Stephanie Sanders</cp:lastModifiedBy>
  <cp:revision>2</cp:revision>
  <dcterms:created xsi:type="dcterms:W3CDTF">2026-01-09T14:41:00Z</dcterms:created>
  <dcterms:modified xsi:type="dcterms:W3CDTF">2026-01-09T14:41:00Z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0x010100F3C676506736AD4DA9CFAB02659F7C7C</vt:lpwstr>
  </property>
  <property fmtid="{D5CDD505-2E9C-101B-9397-08002B2CF9AE}" pid="3" name="MediaServiceImageTags">
    <vt:lpwstr/>
  </property>
</Properties>
</file>