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C9501" w14:textId="17F661B6" w:rsidR="0072174B" w:rsidRPr="0084743E" w:rsidRDefault="00711964">
      <w:r w:rsidRPr="0084743E">
        <w:rPr>
          <w:noProof/>
        </w:rPr>
        <w:drawing>
          <wp:inline distT="0" distB="0" distL="0" distR="0" wp14:anchorId="620F4414" wp14:editId="7EB39F9C">
            <wp:extent cx="1613535" cy="120015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3535" cy="1200150"/>
                    </a:xfrm>
                    <a:prstGeom prst="rect">
                      <a:avLst/>
                    </a:prstGeom>
                    <a:noFill/>
                    <a:ln>
                      <a:noFill/>
                    </a:ln>
                  </pic:spPr>
                </pic:pic>
              </a:graphicData>
            </a:graphic>
          </wp:inline>
        </w:drawing>
      </w:r>
    </w:p>
    <w:p w14:paraId="598D2D0A" w14:textId="77777777" w:rsidR="00790925" w:rsidRPr="0084743E" w:rsidRDefault="00790925"/>
    <w:p w14:paraId="2F635EA5" w14:textId="77777777" w:rsidR="00D672A1" w:rsidRPr="0084743E" w:rsidRDefault="00D672A1" w:rsidP="00A25B60">
      <w:pPr>
        <w:spacing w:after="0"/>
        <w:rPr>
          <w:rFonts w:ascii="Calibri" w:hAnsi="Calibri" w:cs="Calibri"/>
          <w:b/>
          <w:color w:val="1F3864" w:themeColor="accent1" w:themeShade="80"/>
          <w:sz w:val="40"/>
        </w:rPr>
      </w:pPr>
    </w:p>
    <w:p w14:paraId="124711E4" w14:textId="755A9718" w:rsidR="00A25B60" w:rsidRPr="0084743E" w:rsidRDefault="00790925" w:rsidP="00A25B60">
      <w:pPr>
        <w:spacing w:after="0"/>
        <w:rPr>
          <w:rFonts w:ascii="Calibri" w:hAnsi="Calibri" w:cs="Calibri"/>
          <w:b/>
          <w:color w:val="1F3864" w:themeColor="accent1" w:themeShade="80"/>
          <w:sz w:val="40"/>
        </w:rPr>
      </w:pPr>
      <w:r w:rsidRPr="0084743E">
        <w:rPr>
          <w:rFonts w:ascii="Calibri" w:hAnsi="Calibri" w:cs="Calibri"/>
          <w:b/>
          <w:color w:val="1F3864" w:themeColor="accent1" w:themeShade="80"/>
          <w:sz w:val="40"/>
        </w:rPr>
        <w:t>Education Quality Assurance Inspection Report</w:t>
      </w:r>
    </w:p>
    <w:p w14:paraId="37D9CF8B" w14:textId="41308D1F" w:rsidR="00A25B60" w:rsidRPr="0084743E" w:rsidRDefault="00A25B60" w:rsidP="00A25B60">
      <w:pPr>
        <w:spacing w:after="0"/>
        <w:rPr>
          <w:rFonts w:ascii="Calibri" w:hAnsi="Calibri" w:cs="Calibri"/>
          <w:b/>
          <w:color w:val="1F3864" w:themeColor="accent1" w:themeShade="80"/>
          <w:sz w:val="40"/>
        </w:rPr>
      </w:pPr>
    </w:p>
    <w:p w14:paraId="7EA2C1D7" w14:textId="77777777" w:rsidR="00711964" w:rsidRPr="0084743E" w:rsidRDefault="00711964" w:rsidP="00A25B60">
      <w:pPr>
        <w:spacing w:after="0"/>
        <w:rPr>
          <w:rFonts w:ascii="Calibri" w:hAnsi="Calibri" w:cs="Calibri"/>
          <w:b/>
          <w:color w:val="1F3864" w:themeColor="accent1" w:themeShade="80"/>
          <w:sz w:val="40"/>
        </w:rPr>
      </w:pPr>
    </w:p>
    <w:tbl>
      <w:tblPr>
        <w:tblStyle w:val="TableGrid"/>
        <w:tblW w:w="9067" w:type="dxa"/>
        <w:tblLook w:val="04A0" w:firstRow="1" w:lastRow="0" w:firstColumn="1" w:lastColumn="0" w:noHBand="0" w:noVBand="1"/>
      </w:tblPr>
      <w:tblGrid>
        <w:gridCol w:w="4390"/>
        <w:gridCol w:w="4677"/>
      </w:tblGrid>
      <w:tr w:rsidR="000A6A8E" w:rsidRPr="0084743E" w14:paraId="0B2FE623" w14:textId="77777777" w:rsidTr="000A6A8E">
        <w:tc>
          <w:tcPr>
            <w:tcW w:w="4390" w:type="dxa"/>
            <w:shd w:val="clear" w:color="auto" w:fill="1F3864" w:themeFill="accent1" w:themeFillShade="80"/>
          </w:tcPr>
          <w:p w14:paraId="154D96B0" w14:textId="213FFF13" w:rsidR="000A6A8E" w:rsidRPr="0084743E" w:rsidRDefault="000A6A8E">
            <w:pPr>
              <w:rPr>
                <w:rFonts w:ascii="Calibri" w:hAnsi="Calibri" w:cs="Calibri"/>
                <w:color w:val="FFFFFF" w:themeColor="background1"/>
                <w:sz w:val="28"/>
              </w:rPr>
            </w:pPr>
            <w:r w:rsidRPr="0084743E">
              <w:rPr>
                <w:rFonts w:ascii="Calibri" w:hAnsi="Calibri" w:cs="Calibri"/>
                <w:color w:val="FFFFFF" w:themeColor="background1"/>
                <w:sz w:val="28"/>
              </w:rPr>
              <w:t xml:space="preserve">Education Provider/Awarding Body </w:t>
            </w:r>
          </w:p>
        </w:tc>
        <w:tc>
          <w:tcPr>
            <w:tcW w:w="4677" w:type="dxa"/>
            <w:shd w:val="clear" w:color="auto" w:fill="1F3864" w:themeFill="accent1" w:themeFillShade="80"/>
          </w:tcPr>
          <w:p w14:paraId="5C9A978E" w14:textId="1B0CFB01" w:rsidR="000A6A8E" w:rsidRPr="0084743E" w:rsidRDefault="000A6A8E">
            <w:pPr>
              <w:rPr>
                <w:rFonts w:ascii="Calibri" w:hAnsi="Calibri" w:cs="Calibri"/>
                <w:color w:val="FFFFFF" w:themeColor="background1"/>
                <w:sz w:val="28"/>
              </w:rPr>
            </w:pPr>
            <w:r w:rsidRPr="0084743E">
              <w:rPr>
                <w:rFonts w:ascii="Calibri" w:hAnsi="Calibri" w:cs="Calibri"/>
                <w:color w:val="FFFFFF" w:themeColor="background1"/>
                <w:sz w:val="28"/>
              </w:rPr>
              <w:t>Programme/Award</w:t>
            </w:r>
          </w:p>
        </w:tc>
      </w:tr>
      <w:tr w:rsidR="000A6A8E" w:rsidRPr="0084743E" w14:paraId="3DC8E843" w14:textId="77777777" w:rsidTr="000A6A8E">
        <w:tc>
          <w:tcPr>
            <w:tcW w:w="4390" w:type="dxa"/>
          </w:tcPr>
          <w:p w14:paraId="479C934C" w14:textId="58FA0F4F" w:rsidR="000A6A8E" w:rsidRPr="0084743E" w:rsidRDefault="00E2577F">
            <w:pPr>
              <w:rPr>
                <w:rFonts w:ascii="Calibri" w:hAnsi="Calibri" w:cs="Calibri"/>
                <w:color w:val="1F3864" w:themeColor="accent1" w:themeShade="80"/>
                <w:sz w:val="28"/>
              </w:rPr>
            </w:pPr>
            <w:r>
              <w:rPr>
                <w:rFonts w:ascii="Calibri" w:hAnsi="Calibri" w:cs="Calibri"/>
                <w:color w:val="1F3864" w:themeColor="accent1" w:themeShade="80"/>
                <w:sz w:val="28"/>
              </w:rPr>
              <w:t>University of Portsmouth</w:t>
            </w:r>
          </w:p>
        </w:tc>
        <w:tc>
          <w:tcPr>
            <w:tcW w:w="4677" w:type="dxa"/>
          </w:tcPr>
          <w:p w14:paraId="5CCBA87E" w14:textId="3D0B30CE" w:rsidR="000A6A8E" w:rsidRPr="0084743E" w:rsidRDefault="007907E8">
            <w:pPr>
              <w:rPr>
                <w:rFonts w:ascii="Calibri" w:hAnsi="Calibri" w:cs="Calibri"/>
                <w:color w:val="1F3864" w:themeColor="accent1" w:themeShade="80"/>
                <w:sz w:val="28"/>
              </w:rPr>
            </w:pPr>
            <w:r>
              <w:rPr>
                <w:rFonts w:ascii="Calibri" w:hAnsi="Calibri" w:cs="Calibri"/>
                <w:color w:val="1F3864" w:themeColor="accent1" w:themeShade="80"/>
                <w:sz w:val="28"/>
              </w:rPr>
              <w:t>BSc (Hons) in Dental Hygiene and Dental Therapy</w:t>
            </w:r>
          </w:p>
        </w:tc>
      </w:tr>
    </w:tbl>
    <w:p w14:paraId="0F67ED43" w14:textId="77777777" w:rsidR="00A25B60" w:rsidRPr="0084743E" w:rsidRDefault="00A25B60">
      <w:pPr>
        <w:rPr>
          <w:rFonts w:ascii="Calibri" w:hAnsi="Calibri" w:cs="Calibri"/>
          <w:color w:val="1F3864" w:themeColor="accent1" w:themeShade="80"/>
          <w:sz w:val="28"/>
        </w:rPr>
      </w:pPr>
    </w:p>
    <w:tbl>
      <w:tblPr>
        <w:tblStyle w:val="TableGrid"/>
        <w:tblW w:w="0" w:type="auto"/>
        <w:tblLook w:val="04A0" w:firstRow="1" w:lastRow="0" w:firstColumn="1" w:lastColumn="0" w:noHBand="0" w:noVBand="1"/>
      </w:tblPr>
      <w:tblGrid>
        <w:gridCol w:w="3114"/>
        <w:gridCol w:w="5902"/>
      </w:tblGrid>
      <w:tr w:rsidR="00E54A44" w:rsidRPr="0084743E" w14:paraId="057129CD" w14:textId="77777777" w:rsidTr="00711964">
        <w:tc>
          <w:tcPr>
            <w:tcW w:w="3114" w:type="dxa"/>
            <w:shd w:val="clear" w:color="auto" w:fill="1F3864" w:themeFill="accent1" w:themeFillShade="80"/>
          </w:tcPr>
          <w:p w14:paraId="2CEEF8B0" w14:textId="6CD64D55" w:rsidR="00E54A44" w:rsidRPr="0084743E" w:rsidRDefault="00E54A44">
            <w:pPr>
              <w:rPr>
                <w:rFonts w:ascii="Calibri" w:hAnsi="Calibri" w:cs="Calibri"/>
                <w:color w:val="FFFFFF" w:themeColor="background1"/>
                <w:sz w:val="28"/>
              </w:rPr>
            </w:pPr>
            <w:r w:rsidRPr="0084743E">
              <w:rPr>
                <w:rFonts w:ascii="Calibri" w:hAnsi="Calibri" w:cs="Calibri"/>
                <w:color w:val="FFFFFF" w:themeColor="background1"/>
                <w:sz w:val="28"/>
              </w:rPr>
              <w:t>Outcome of Inspection</w:t>
            </w:r>
          </w:p>
        </w:tc>
        <w:tc>
          <w:tcPr>
            <w:tcW w:w="5902" w:type="dxa"/>
          </w:tcPr>
          <w:p w14:paraId="298840EF" w14:textId="29AD47AF" w:rsidR="00E54A44" w:rsidRPr="0084743E" w:rsidRDefault="00E54A44">
            <w:pPr>
              <w:rPr>
                <w:rFonts w:cstheme="minorHAnsi"/>
                <w:color w:val="1F3864" w:themeColor="accent1" w:themeShade="80"/>
                <w:sz w:val="28"/>
                <w:lang w:eastAsia="en-GB"/>
              </w:rPr>
            </w:pPr>
            <w:r w:rsidRPr="0084743E">
              <w:rPr>
                <w:rFonts w:cstheme="minorHAnsi"/>
                <w:color w:val="1F3864" w:themeColor="accent1" w:themeShade="80"/>
                <w:sz w:val="28"/>
                <w:lang w:eastAsia="en-GB"/>
              </w:rPr>
              <w:t xml:space="preserve">Recommended that the </w:t>
            </w:r>
            <w:r w:rsidR="007907E8">
              <w:rPr>
                <w:rFonts w:cstheme="minorHAnsi"/>
                <w:iCs/>
                <w:color w:val="1F3864" w:themeColor="accent1" w:themeShade="80"/>
                <w:sz w:val="28"/>
                <w:lang w:eastAsia="en-GB"/>
              </w:rPr>
              <w:t>BSc (Hons) in Dental Hygiene and Dental Therapy</w:t>
            </w:r>
            <w:r w:rsidRPr="0084743E">
              <w:rPr>
                <w:rFonts w:cstheme="minorHAnsi"/>
                <w:color w:val="1F3864" w:themeColor="accent1" w:themeShade="80"/>
                <w:sz w:val="28"/>
                <w:lang w:eastAsia="en-GB"/>
              </w:rPr>
              <w:t xml:space="preserve"> </w:t>
            </w:r>
            <w:r w:rsidR="007907E8">
              <w:rPr>
                <w:rFonts w:cstheme="minorHAnsi"/>
                <w:color w:val="1F3864" w:themeColor="accent1" w:themeShade="80"/>
                <w:sz w:val="28"/>
                <w:lang w:eastAsia="en-GB"/>
              </w:rPr>
              <w:t>continues to be approved</w:t>
            </w:r>
            <w:r w:rsidR="00CC1E01" w:rsidRPr="0084743E">
              <w:rPr>
                <w:rFonts w:cstheme="minorHAnsi"/>
                <w:color w:val="1F3864" w:themeColor="accent1" w:themeShade="80"/>
                <w:sz w:val="28"/>
                <w:lang w:eastAsia="en-GB"/>
              </w:rPr>
              <w:t xml:space="preserve"> </w:t>
            </w:r>
            <w:r w:rsidRPr="0084743E">
              <w:rPr>
                <w:rFonts w:cstheme="minorHAnsi"/>
                <w:color w:val="1F3864" w:themeColor="accent1" w:themeShade="80"/>
                <w:sz w:val="28"/>
                <w:lang w:eastAsia="en-GB"/>
              </w:rPr>
              <w:t xml:space="preserve">for the graduating cohort to register as </w:t>
            </w:r>
            <w:r w:rsidR="007907E8">
              <w:rPr>
                <w:rFonts w:cstheme="minorHAnsi"/>
                <w:color w:val="1F3864" w:themeColor="accent1" w:themeShade="80"/>
                <w:sz w:val="28"/>
                <w:lang w:eastAsia="en-GB"/>
              </w:rPr>
              <w:t>a dental hygienist and therapist</w:t>
            </w:r>
            <w:r w:rsidR="009642CA" w:rsidRPr="0084743E">
              <w:rPr>
                <w:rFonts w:cstheme="minorHAnsi"/>
                <w:color w:val="1F3864" w:themeColor="accent1" w:themeShade="80"/>
                <w:sz w:val="28"/>
                <w:lang w:eastAsia="en-GB"/>
              </w:rPr>
              <w:t>.</w:t>
            </w:r>
          </w:p>
          <w:p w14:paraId="66C74363" w14:textId="49075CBC" w:rsidR="00BA0A18" w:rsidRPr="0084743E" w:rsidRDefault="00BA0A18">
            <w:pPr>
              <w:rPr>
                <w:rFonts w:cstheme="minorHAnsi"/>
                <w:color w:val="1F3864" w:themeColor="accent1" w:themeShade="80"/>
                <w:sz w:val="28"/>
              </w:rPr>
            </w:pPr>
          </w:p>
        </w:tc>
      </w:tr>
    </w:tbl>
    <w:p w14:paraId="4EF56798" w14:textId="56D04F83" w:rsidR="00D672A1" w:rsidRPr="0084743E" w:rsidRDefault="00D672A1">
      <w:pPr>
        <w:rPr>
          <w:rFonts w:ascii="Calibri" w:hAnsi="Calibri" w:cs="Calibri"/>
          <w:color w:val="1F3864" w:themeColor="accent1" w:themeShade="80"/>
          <w:sz w:val="28"/>
        </w:rPr>
      </w:pPr>
    </w:p>
    <w:p w14:paraId="108749C8" w14:textId="23584368" w:rsidR="00D672A1" w:rsidRPr="0084743E" w:rsidRDefault="00D672A1">
      <w:pPr>
        <w:rPr>
          <w:rFonts w:ascii="Calibri" w:hAnsi="Calibri" w:cs="Calibri"/>
          <w:color w:val="1F3864" w:themeColor="accent1" w:themeShade="80"/>
          <w:sz w:val="28"/>
        </w:rPr>
      </w:pPr>
      <w:r w:rsidRPr="0084743E">
        <w:rPr>
          <w:rFonts w:ascii="Calibri" w:hAnsi="Calibri" w:cs="Calibri"/>
          <w:color w:val="1F3864" w:themeColor="accent1" w:themeShade="80"/>
          <w:sz w:val="28"/>
        </w:rPr>
        <w:br w:type="page"/>
      </w:r>
    </w:p>
    <w:p w14:paraId="10105D78" w14:textId="24EB8B61" w:rsidR="00BD4BB3" w:rsidRPr="0084743E" w:rsidRDefault="00F671FD" w:rsidP="00BD4BB3">
      <w:pPr>
        <w:jc w:val="center"/>
        <w:rPr>
          <w:rFonts w:cs="Calibri"/>
          <w:b/>
          <w:color w:val="365F91"/>
          <w:sz w:val="28"/>
          <w:szCs w:val="28"/>
        </w:rPr>
      </w:pPr>
      <w:r w:rsidRPr="0084743E">
        <w:rPr>
          <w:rFonts w:cs="Calibri"/>
          <w:b/>
          <w:color w:val="365F91"/>
          <w:sz w:val="28"/>
          <w:szCs w:val="28"/>
        </w:rPr>
        <w:lastRenderedPageBreak/>
        <w:t>*</w:t>
      </w:r>
      <w:r w:rsidR="00BD4BB3" w:rsidRPr="0084743E">
        <w:rPr>
          <w:rFonts w:cs="Calibri"/>
          <w:b/>
          <w:color w:val="365F91"/>
          <w:sz w:val="28"/>
          <w:szCs w:val="28"/>
        </w:rPr>
        <w:t xml:space="preserve">Full details of the inspection process can be found in </w:t>
      </w:r>
      <w:r w:rsidR="000A6A8E" w:rsidRPr="0084743E">
        <w:rPr>
          <w:rFonts w:cs="Calibri"/>
          <w:b/>
          <w:color w:val="365F91"/>
          <w:sz w:val="28"/>
          <w:szCs w:val="28"/>
        </w:rPr>
        <w:t>A</w:t>
      </w:r>
      <w:r w:rsidR="00BD4BB3" w:rsidRPr="0084743E">
        <w:rPr>
          <w:rFonts w:cs="Calibri"/>
          <w:b/>
          <w:color w:val="365F91"/>
          <w:sz w:val="28"/>
          <w:szCs w:val="28"/>
        </w:rPr>
        <w:t>nnex</w:t>
      </w:r>
      <w:r w:rsidR="000A6A8E" w:rsidRPr="0084743E">
        <w:rPr>
          <w:rFonts w:cs="Calibri"/>
          <w:b/>
          <w:color w:val="365F91"/>
          <w:sz w:val="28"/>
          <w:szCs w:val="28"/>
        </w:rPr>
        <w:t xml:space="preserve"> 1</w:t>
      </w:r>
      <w:r w:rsidRPr="0084743E">
        <w:rPr>
          <w:rFonts w:cs="Calibri"/>
          <w:b/>
          <w:color w:val="365F91"/>
          <w:sz w:val="28"/>
          <w:szCs w:val="28"/>
        </w:rPr>
        <w:t>*</w:t>
      </w:r>
    </w:p>
    <w:p w14:paraId="18A65495" w14:textId="77777777" w:rsidR="000A6A8E" w:rsidRPr="0084743E" w:rsidRDefault="000A6A8E" w:rsidP="00204D49">
      <w:pPr>
        <w:spacing w:after="0"/>
        <w:rPr>
          <w:rFonts w:ascii="Arial" w:hAnsi="Arial" w:cs="Arial"/>
          <w:b/>
          <w:color w:val="244061"/>
          <w:sz w:val="28"/>
          <w:szCs w:val="28"/>
          <w:lang w:eastAsia="en-GB"/>
        </w:rPr>
      </w:pPr>
    </w:p>
    <w:p w14:paraId="0C1EAE46" w14:textId="7B4EC9F2" w:rsidR="00BD4BB3" w:rsidRPr="0084743E" w:rsidRDefault="00BD4BB3" w:rsidP="00204D49">
      <w:pPr>
        <w:spacing w:after="0"/>
        <w:rPr>
          <w:rFonts w:ascii="Arial" w:hAnsi="Arial" w:cs="Arial"/>
          <w:b/>
          <w:color w:val="244061"/>
          <w:sz w:val="28"/>
          <w:szCs w:val="28"/>
          <w:lang w:eastAsia="en-GB"/>
        </w:rPr>
      </w:pPr>
      <w:r w:rsidRPr="0084743E">
        <w:rPr>
          <w:rFonts w:ascii="Arial" w:hAnsi="Arial" w:cs="Arial"/>
          <w:b/>
          <w:color w:val="244061"/>
          <w:sz w:val="28"/>
          <w:szCs w:val="28"/>
          <w:lang w:eastAsia="en-GB"/>
        </w:rPr>
        <w:t>Inspection summary</w:t>
      </w:r>
    </w:p>
    <w:p w14:paraId="51F1BC46" w14:textId="77777777" w:rsidR="00204D49" w:rsidRPr="0084743E" w:rsidRDefault="00204D49" w:rsidP="00204D49">
      <w:pPr>
        <w:spacing w:after="0"/>
        <w:rPr>
          <w:rFonts w:ascii="Arial" w:hAnsi="Arial" w:cs="Arial"/>
          <w:b/>
          <w:color w:val="244061"/>
          <w:sz w:val="28"/>
          <w:szCs w:val="28"/>
          <w:lang w:eastAsia="en-GB"/>
        </w:rPr>
      </w:pPr>
    </w:p>
    <w:tbl>
      <w:tblPr>
        <w:tblStyle w:val="TableGrid"/>
        <w:tblW w:w="9478" w:type="dxa"/>
        <w:tblLook w:val="04A0" w:firstRow="1" w:lastRow="0" w:firstColumn="1" w:lastColumn="0" w:noHBand="0" w:noVBand="1"/>
      </w:tblPr>
      <w:tblGrid>
        <w:gridCol w:w="4106"/>
        <w:gridCol w:w="5372"/>
      </w:tblGrid>
      <w:tr w:rsidR="008E4A71" w:rsidRPr="0084743E" w14:paraId="73E47D7B" w14:textId="77777777" w:rsidTr="00A759EC">
        <w:tc>
          <w:tcPr>
            <w:tcW w:w="4106" w:type="dxa"/>
          </w:tcPr>
          <w:p w14:paraId="6232DDC4" w14:textId="17F35486" w:rsidR="008E4A71" w:rsidRPr="0084743E" w:rsidRDefault="008E4A71" w:rsidP="00A759EC">
            <w:pPr>
              <w:rPr>
                <w:rFonts w:ascii="Arial" w:eastAsia="Times New Roman" w:hAnsi="Arial" w:cs="Arial"/>
                <w:b/>
                <w:smallCaps/>
                <w:sz w:val="24"/>
                <w:szCs w:val="24"/>
                <w:lang w:eastAsia="en-GB"/>
              </w:rPr>
            </w:pPr>
            <w:r w:rsidRPr="0084743E">
              <w:rPr>
                <w:rFonts w:ascii="Arial" w:hAnsi="Arial" w:cs="Arial"/>
                <w:b/>
                <w:sz w:val="24"/>
                <w:szCs w:val="24"/>
              </w:rPr>
              <w:t>Remit and purpose</w:t>
            </w:r>
            <w:r w:rsidR="00204D49" w:rsidRPr="0084743E">
              <w:rPr>
                <w:rFonts w:ascii="Arial" w:hAnsi="Arial" w:cs="Arial"/>
                <w:b/>
                <w:sz w:val="24"/>
                <w:szCs w:val="24"/>
              </w:rPr>
              <w:t xml:space="preserve"> of inspection</w:t>
            </w:r>
            <w:r w:rsidRPr="0084743E">
              <w:rPr>
                <w:rFonts w:ascii="Arial" w:eastAsia="Times New Roman" w:hAnsi="Arial" w:cs="Arial"/>
                <w:b/>
                <w:smallCaps/>
                <w:sz w:val="24"/>
                <w:szCs w:val="24"/>
                <w:lang w:eastAsia="en-GB"/>
              </w:rPr>
              <w:t>:</w:t>
            </w:r>
          </w:p>
          <w:p w14:paraId="54728ABC" w14:textId="77777777" w:rsidR="008E4A71" w:rsidRPr="0084743E" w:rsidRDefault="008E4A71" w:rsidP="00A759EC">
            <w:pPr>
              <w:rPr>
                <w:rFonts w:ascii="Arial" w:eastAsia="Calibri" w:hAnsi="Arial" w:cs="Arial"/>
                <w:b/>
                <w:color w:val="2F5496" w:themeColor="accent1" w:themeShade="BF"/>
                <w:sz w:val="28"/>
                <w:szCs w:val="28"/>
              </w:rPr>
            </w:pPr>
          </w:p>
        </w:tc>
        <w:tc>
          <w:tcPr>
            <w:tcW w:w="5372" w:type="dxa"/>
          </w:tcPr>
          <w:p w14:paraId="62DBC1D3" w14:textId="4008C13D" w:rsidR="008E4A71" w:rsidRPr="0084743E" w:rsidRDefault="008E4A71" w:rsidP="00A759EC">
            <w:pPr>
              <w:rPr>
                <w:rFonts w:ascii="Arial" w:hAnsi="Arial" w:cs="Arial"/>
                <w:b/>
                <w:sz w:val="24"/>
                <w:lang w:eastAsia="en-GB"/>
              </w:rPr>
            </w:pPr>
            <w:r w:rsidRPr="0084743E">
              <w:rPr>
                <w:rFonts w:ascii="Arial" w:hAnsi="Arial" w:cs="Arial"/>
                <w:b/>
                <w:sz w:val="24"/>
                <w:lang w:eastAsia="en-GB"/>
              </w:rPr>
              <w:t xml:space="preserve">Inspection referencing the </w:t>
            </w:r>
            <w:r w:rsidRPr="0084743E">
              <w:rPr>
                <w:rFonts w:ascii="Arial" w:hAnsi="Arial" w:cs="Arial"/>
                <w:b/>
                <w:i/>
                <w:sz w:val="24"/>
                <w:lang w:eastAsia="en-GB"/>
              </w:rPr>
              <w:t>Standards for Education</w:t>
            </w:r>
            <w:r w:rsidRPr="0084743E">
              <w:rPr>
                <w:rFonts w:ascii="Arial" w:hAnsi="Arial" w:cs="Arial"/>
                <w:b/>
                <w:sz w:val="24"/>
                <w:lang w:eastAsia="en-GB"/>
              </w:rPr>
              <w:t xml:space="preserve"> to determine </w:t>
            </w:r>
            <w:r w:rsidRPr="00363DE9">
              <w:rPr>
                <w:rFonts w:ascii="Arial" w:hAnsi="Arial" w:cs="Arial"/>
                <w:b/>
                <w:sz w:val="24"/>
                <w:lang w:eastAsia="en-GB"/>
              </w:rPr>
              <w:t>approval</w:t>
            </w:r>
            <w:r w:rsidR="000A6A8E" w:rsidRPr="00363DE9">
              <w:rPr>
                <w:rFonts w:ascii="Arial" w:hAnsi="Arial" w:cs="Arial"/>
                <w:b/>
                <w:sz w:val="24"/>
                <w:lang w:eastAsia="en-GB"/>
              </w:rPr>
              <w:t xml:space="preserve"> </w:t>
            </w:r>
            <w:r w:rsidRPr="0084743E">
              <w:rPr>
                <w:rFonts w:ascii="Arial" w:hAnsi="Arial" w:cs="Arial"/>
                <w:b/>
                <w:sz w:val="24"/>
                <w:lang w:eastAsia="en-GB"/>
              </w:rPr>
              <w:t xml:space="preserve">of the award for the purpose of registration with the GDC as </w:t>
            </w:r>
            <w:r w:rsidRPr="00EF781E">
              <w:rPr>
                <w:rFonts w:ascii="Arial" w:hAnsi="Arial" w:cs="Arial"/>
                <w:b/>
                <w:sz w:val="24"/>
                <w:lang w:eastAsia="en-GB"/>
              </w:rPr>
              <w:t>a</w:t>
            </w:r>
            <w:r w:rsidR="00EF781E">
              <w:rPr>
                <w:rFonts w:ascii="Arial" w:hAnsi="Arial" w:cs="Arial"/>
                <w:b/>
                <w:sz w:val="24"/>
                <w:lang w:eastAsia="en-GB"/>
              </w:rPr>
              <w:t xml:space="preserve"> dental hygienist and </w:t>
            </w:r>
            <w:r w:rsidR="004F63E3">
              <w:rPr>
                <w:rFonts w:ascii="Arial" w:hAnsi="Arial" w:cs="Arial"/>
                <w:b/>
                <w:sz w:val="24"/>
                <w:lang w:eastAsia="en-GB"/>
              </w:rPr>
              <w:t xml:space="preserve">dental </w:t>
            </w:r>
            <w:proofErr w:type="gramStart"/>
            <w:r w:rsidR="004F63E3">
              <w:rPr>
                <w:rFonts w:ascii="Arial" w:hAnsi="Arial" w:cs="Arial"/>
                <w:b/>
                <w:sz w:val="24"/>
                <w:lang w:eastAsia="en-GB"/>
              </w:rPr>
              <w:t>therapist</w:t>
            </w:r>
            <w:proofErr w:type="gramEnd"/>
          </w:p>
          <w:p w14:paraId="23A7B557" w14:textId="5D84B7C2" w:rsidR="008E4A71" w:rsidRPr="0084743E" w:rsidRDefault="008E4A71" w:rsidP="00A759EC">
            <w:pPr>
              <w:rPr>
                <w:rFonts w:ascii="Arial" w:eastAsia="Calibri" w:hAnsi="Arial" w:cs="Arial"/>
                <w:b/>
                <w:color w:val="2F5496" w:themeColor="accent1" w:themeShade="BF"/>
                <w:sz w:val="24"/>
                <w:szCs w:val="24"/>
              </w:rPr>
            </w:pPr>
          </w:p>
        </w:tc>
      </w:tr>
      <w:tr w:rsidR="008E4A71" w:rsidRPr="0084743E" w14:paraId="3F28A39A" w14:textId="77777777" w:rsidTr="00A759EC">
        <w:tc>
          <w:tcPr>
            <w:tcW w:w="4106" w:type="dxa"/>
          </w:tcPr>
          <w:p w14:paraId="1FAEBE56" w14:textId="77777777" w:rsidR="008E4A71" w:rsidRPr="0084743E" w:rsidRDefault="008E4A71" w:rsidP="00A759EC">
            <w:pPr>
              <w:rPr>
                <w:rFonts w:ascii="Arial" w:eastAsia="Times New Roman" w:hAnsi="Arial" w:cs="Arial"/>
                <w:b/>
                <w:smallCaps/>
                <w:sz w:val="24"/>
                <w:szCs w:val="24"/>
                <w:lang w:eastAsia="en-GB"/>
              </w:rPr>
            </w:pPr>
            <w:r w:rsidRPr="0084743E">
              <w:rPr>
                <w:rFonts w:ascii="Arial" w:hAnsi="Arial" w:cs="Arial"/>
                <w:b/>
                <w:sz w:val="24"/>
                <w:szCs w:val="24"/>
              </w:rPr>
              <w:t>Learning Outcomes</w:t>
            </w:r>
            <w:r w:rsidRPr="0084743E">
              <w:rPr>
                <w:rFonts w:ascii="Arial" w:eastAsia="Times New Roman" w:hAnsi="Arial" w:cs="Arial"/>
                <w:b/>
                <w:smallCaps/>
                <w:sz w:val="24"/>
                <w:szCs w:val="24"/>
                <w:lang w:eastAsia="en-GB"/>
              </w:rPr>
              <w:t>:</w:t>
            </w:r>
          </w:p>
          <w:p w14:paraId="0DC8BD64" w14:textId="77777777" w:rsidR="008E4A71" w:rsidRPr="0084743E" w:rsidRDefault="008E4A71" w:rsidP="00A759EC">
            <w:pPr>
              <w:rPr>
                <w:rFonts w:ascii="Arial" w:eastAsia="Times New Roman" w:hAnsi="Arial" w:cs="Arial"/>
                <w:b/>
                <w:smallCaps/>
                <w:sz w:val="24"/>
                <w:szCs w:val="24"/>
                <w:lang w:eastAsia="en-GB"/>
              </w:rPr>
            </w:pPr>
          </w:p>
        </w:tc>
        <w:tc>
          <w:tcPr>
            <w:tcW w:w="5372" w:type="dxa"/>
          </w:tcPr>
          <w:p w14:paraId="5181B5EC" w14:textId="77777777" w:rsidR="008E4A71" w:rsidRDefault="008E4A71" w:rsidP="009642CA">
            <w:pPr>
              <w:rPr>
                <w:rFonts w:ascii="Arial" w:hAnsi="Arial" w:cs="Arial"/>
                <w:b/>
                <w:iCs/>
                <w:sz w:val="24"/>
                <w:lang w:eastAsia="en-GB"/>
              </w:rPr>
            </w:pPr>
            <w:r w:rsidRPr="0084743E">
              <w:rPr>
                <w:rFonts w:ascii="Arial" w:hAnsi="Arial" w:cs="Arial"/>
                <w:b/>
                <w:iCs/>
                <w:sz w:val="24"/>
                <w:lang w:eastAsia="en-GB"/>
              </w:rPr>
              <w:t xml:space="preserve">Preparing for Practice </w:t>
            </w:r>
            <w:r w:rsidR="009A399B">
              <w:rPr>
                <w:rFonts w:ascii="Arial" w:hAnsi="Arial" w:cs="Arial"/>
                <w:b/>
                <w:iCs/>
                <w:sz w:val="24"/>
                <w:lang w:eastAsia="en-GB"/>
              </w:rPr>
              <w:t>for dental hygienists and dental therapists</w:t>
            </w:r>
          </w:p>
          <w:p w14:paraId="193FC9AD" w14:textId="3BDD348B" w:rsidR="009A399B" w:rsidRPr="0084743E" w:rsidRDefault="009A399B" w:rsidP="009642CA">
            <w:pPr>
              <w:rPr>
                <w:rFonts w:ascii="Arial" w:hAnsi="Arial" w:cs="Arial"/>
                <w:lang w:eastAsia="en-GB"/>
              </w:rPr>
            </w:pPr>
          </w:p>
        </w:tc>
      </w:tr>
      <w:tr w:rsidR="008E4A71" w:rsidRPr="0084743E" w14:paraId="0E74530D" w14:textId="77777777" w:rsidTr="00A759EC">
        <w:tc>
          <w:tcPr>
            <w:tcW w:w="4106" w:type="dxa"/>
          </w:tcPr>
          <w:p w14:paraId="151915CD" w14:textId="67442201" w:rsidR="008E4A71" w:rsidRPr="0084743E" w:rsidRDefault="008E4A71" w:rsidP="00A759EC">
            <w:pPr>
              <w:rPr>
                <w:rFonts w:ascii="Arial" w:eastAsia="Times New Roman" w:hAnsi="Arial" w:cs="Arial"/>
                <w:b/>
                <w:smallCaps/>
                <w:sz w:val="24"/>
                <w:szCs w:val="24"/>
                <w:lang w:eastAsia="en-GB"/>
              </w:rPr>
            </w:pPr>
            <w:r w:rsidRPr="0084743E">
              <w:rPr>
                <w:rFonts w:ascii="Arial" w:hAnsi="Arial" w:cs="Arial"/>
                <w:b/>
                <w:sz w:val="24"/>
                <w:szCs w:val="24"/>
              </w:rPr>
              <w:t>Programme inspection dat</w:t>
            </w:r>
            <w:r w:rsidR="009A399B">
              <w:rPr>
                <w:rFonts w:ascii="Arial" w:hAnsi="Arial" w:cs="Arial"/>
                <w:b/>
                <w:sz w:val="24"/>
                <w:szCs w:val="24"/>
              </w:rPr>
              <w:t>e:</w:t>
            </w:r>
            <w:r w:rsidRPr="0084743E">
              <w:rPr>
                <w:rFonts w:ascii="Arial" w:eastAsia="Times New Roman" w:hAnsi="Arial" w:cs="Arial"/>
                <w:b/>
                <w:smallCaps/>
                <w:sz w:val="24"/>
                <w:szCs w:val="24"/>
                <w:lang w:eastAsia="en-GB"/>
              </w:rPr>
              <w:t xml:space="preserve">  </w:t>
            </w:r>
          </w:p>
          <w:p w14:paraId="7E661E8E" w14:textId="77777777" w:rsidR="008E4A71" w:rsidRPr="0084743E" w:rsidRDefault="008E4A71" w:rsidP="00A759EC">
            <w:pPr>
              <w:rPr>
                <w:rFonts w:ascii="Arial" w:eastAsia="Times New Roman" w:hAnsi="Arial" w:cs="Arial"/>
                <w:b/>
                <w:smallCaps/>
                <w:sz w:val="24"/>
                <w:szCs w:val="24"/>
                <w:lang w:eastAsia="en-GB"/>
              </w:rPr>
            </w:pPr>
          </w:p>
        </w:tc>
        <w:tc>
          <w:tcPr>
            <w:tcW w:w="5372" w:type="dxa"/>
          </w:tcPr>
          <w:p w14:paraId="2EAF198F" w14:textId="1966275B" w:rsidR="008E4A71" w:rsidRPr="00561367" w:rsidRDefault="009A399B" w:rsidP="00A759EC">
            <w:pPr>
              <w:rPr>
                <w:rFonts w:ascii="Arial" w:hAnsi="Arial" w:cs="Arial"/>
                <w:b/>
                <w:sz w:val="24"/>
                <w:szCs w:val="24"/>
                <w:lang w:eastAsia="en-GB"/>
              </w:rPr>
            </w:pPr>
            <w:r>
              <w:rPr>
                <w:rFonts w:ascii="Arial" w:hAnsi="Arial" w:cs="Arial"/>
                <w:b/>
                <w:sz w:val="24"/>
                <w:szCs w:val="24"/>
                <w:lang w:eastAsia="en-GB"/>
              </w:rPr>
              <w:t>23 and 24 April 2024</w:t>
            </w:r>
          </w:p>
        </w:tc>
      </w:tr>
      <w:tr w:rsidR="008E4A71" w:rsidRPr="0084743E" w14:paraId="4F3BF7A4" w14:textId="77777777" w:rsidTr="00A759EC">
        <w:tc>
          <w:tcPr>
            <w:tcW w:w="4106" w:type="dxa"/>
          </w:tcPr>
          <w:p w14:paraId="1FA2D3DF" w14:textId="4273EA07" w:rsidR="009A399B" w:rsidRPr="0084743E" w:rsidRDefault="008E4A71" w:rsidP="009A399B">
            <w:pPr>
              <w:rPr>
                <w:rFonts w:ascii="Arial" w:eastAsia="Times New Roman" w:hAnsi="Arial" w:cs="Arial"/>
                <w:b/>
                <w:smallCaps/>
                <w:sz w:val="24"/>
                <w:szCs w:val="24"/>
                <w:lang w:eastAsia="en-GB"/>
              </w:rPr>
            </w:pPr>
            <w:r w:rsidRPr="0084743E">
              <w:rPr>
                <w:rFonts w:ascii="Arial" w:hAnsi="Arial" w:cs="Arial"/>
                <w:b/>
                <w:sz w:val="24"/>
                <w:szCs w:val="24"/>
              </w:rPr>
              <w:t>Examination inspection date</w:t>
            </w:r>
            <w:r w:rsidR="009A399B">
              <w:rPr>
                <w:rFonts w:ascii="Arial" w:hAnsi="Arial" w:cs="Arial"/>
                <w:b/>
                <w:sz w:val="24"/>
                <w:szCs w:val="24"/>
              </w:rPr>
              <w:t>:</w:t>
            </w:r>
          </w:p>
          <w:p w14:paraId="44A6C3B0" w14:textId="488C5FF4" w:rsidR="008E4A71" w:rsidRPr="0084743E" w:rsidRDefault="008E4A71" w:rsidP="00A759EC">
            <w:pPr>
              <w:rPr>
                <w:rFonts w:ascii="Arial" w:eastAsia="Times New Roman" w:hAnsi="Arial" w:cs="Arial"/>
                <w:b/>
                <w:smallCaps/>
                <w:sz w:val="24"/>
                <w:szCs w:val="24"/>
                <w:lang w:eastAsia="en-GB"/>
              </w:rPr>
            </w:pPr>
          </w:p>
        </w:tc>
        <w:tc>
          <w:tcPr>
            <w:tcW w:w="5372" w:type="dxa"/>
          </w:tcPr>
          <w:p w14:paraId="4CAE212F" w14:textId="4FB61F85" w:rsidR="008E4A71" w:rsidRPr="00561367" w:rsidRDefault="009A399B" w:rsidP="00A759EC">
            <w:pPr>
              <w:rPr>
                <w:rFonts w:ascii="Arial" w:hAnsi="Arial" w:cs="Arial"/>
                <w:b/>
                <w:sz w:val="24"/>
                <w:szCs w:val="24"/>
                <w:lang w:eastAsia="en-GB"/>
              </w:rPr>
            </w:pPr>
            <w:r>
              <w:rPr>
                <w:rFonts w:ascii="Arial" w:hAnsi="Arial" w:cs="Arial"/>
                <w:b/>
                <w:sz w:val="24"/>
                <w:szCs w:val="24"/>
                <w:lang w:eastAsia="en-GB"/>
              </w:rPr>
              <w:t>N/A</w:t>
            </w:r>
          </w:p>
        </w:tc>
      </w:tr>
      <w:tr w:rsidR="008E4A71" w:rsidRPr="0084743E" w14:paraId="4B52CF4D" w14:textId="77777777" w:rsidTr="00A759EC">
        <w:tc>
          <w:tcPr>
            <w:tcW w:w="4106" w:type="dxa"/>
          </w:tcPr>
          <w:p w14:paraId="4A983A2D" w14:textId="7DF7B507" w:rsidR="008E4A71" w:rsidRPr="0084743E" w:rsidRDefault="008E4A71" w:rsidP="00A759EC">
            <w:pPr>
              <w:pStyle w:val="Heading2"/>
              <w:ind w:right="-424"/>
              <w:rPr>
                <w:rFonts w:cs="Arial"/>
                <w:b/>
                <w:smallCaps/>
                <w:sz w:val="24"/>
                <w:szCs w:val="24"/>
                <w:lang w:val="en-GB"/>
              </w:rPr>
            </w:pPr>
            <w:r w:rsidRPr="0084743E">
              <w:rPr>
                <w:rFonts w:cs="Arial"/>
                <w:b/>
                <w:sz w:val="24"/>
                <w:szCs w:val="24"/>
                <w:lang w:val="en-GB"/>
              </w:rPr>
              <w:t xml:space="preserve">Inspection </w:t>
            </w:r>
            <w:r w:rsidR="007743A4" w:rsidRPr="0084743E">
              <w:rPr>
                <w:rFonts w:cs="Arial"/>
                <w:b/>
                <w:sz w:val="24"/>
                <w:szCs w:val="24"/>
                <w:lang w:val="en-GB"/>
              </w:rPr>
              <w:t>team</w:t>
            </w:r>
            <w:r w:rsidRPr="0084743E">
              <w:rPr>
                <w:rFonts w:cs="Arial"/>
                <w:b/>
                <w:smallCaps/>
                <w:sz w:val="24"/>
                <w:szCs w:val="24"/>
                <w:lang w:val="en-GB"/>
              </w:rPr>
              <w:t>:</w:t>
            </w:r>
          </w:p>
          <w:p w14:paraId="4CFCA3E4" w14:textId="77777777" w:rsidR="008E4A71" w:rsidRPr="0084743E" w:rsidRDefault="008E4A71" w:rsidP="00A759EC">
            <w:pPr>
              <w:jc w:val="center"/>
              <w:rPr>
                <w:rFonts w:ascii="Arial" w:eastAsia="Times New Roman" w:hAnsi="Arial" w:cs="Arial"/>
                <w:b/>
                <w:smallCaps/>
                <w:sz w:val="24"/>
                <w:szCs w:val="24"/>
                <w:lang w:eastAsia="en-GB"/>
              </w:rPr>
            </w:pPr>
          </w:p>
        </w:tc>
        <w:tc>
          <w:tcPr>
            <w:tcW w:w="5372" w:type="dxa"/>
          </w:tcPr>
          <w:p w14:paraId="13284FFA" w14:textId="7817134C" w:rsidR="008E4A71" w:rsidRPr="00363DE9" w:rsidRDefault="009A399B" w:rsidP="00A759EC">
            <w:pPr>
              <w:rPr>
                <w:rFonts w:ascii="Arial" w:hAnsi="Arial" w:cs="Arial"/>
                <w:b/>
                <w:sz w:val="24"/>
                <w:lang w:eastAsia="en-GB"/>
              </w:rPr>
            </w:pPr>
            <w:r w:rsidRPr="00363DE9">
              <w:rPr>
                <w:rFonts w:ascii="Arial" w:hAnsi="Arial" w:cs="Arial"/>
                <w:b/>
                <w:sz w:val="24"/>
                <w:lang w:eastAsia="en-GB"/>
              </w:rPr>
              <w:t>Jim Hurd</w:t>
            </w:r>
            <w:r w:rsidR="007A31A2" w:rsidRPr="00363DE9">
              <w:rPr>
                <w:rFonts w:ascii="Arial" w:hAnsi="Arial" w:cs="Arial"/>
                <w:b/>
                <w:sz w:val="24"/>
                <w:lang w:eastAsia="en-GB"/>
              </w:rPr>
              <w:t>e</w:t>
            </w:r>
            <w:r w:rsidRPr="00363DE9">
              <w:rPr>
                <w:rFonts w:ascii="Arial" w:hAnsi="Arial" w:cs="Arial"/>
                <w:b/>
                <w:sz w:val="24"/>
                <w:lang w:eastAsia="en-GB"/>
              </w:rPr>
              <w:t>n</w:t>
            </w:r>
            <w:r w:rsidR="008E4A71" w:rsidRPr="00363DE9">
              <w:rPr>
                <w:rFonts w:ascii="Arial" w:hAnsi="Arial" w:cs="Arial"/>
                <w:b/>
                <w:sz w:val="24"/>
                <w:lang w:eastAsia="en-GB"/>
              </w:rPr>
              <w:t xml:space="preserve"> (Chair and </w:t>
            </w:r>
            <w:r w:rsidR="00AC1360" w:rsidRPr="00363DE9">
              <w:rPr>
                <w:rFonts w:ascii="Arial" w:hAnsi="Arial" w:cs="Arial"/>
                <w:b/>
                <w:sz w:val="24"/>
                <w:lang w:eastAsia="en-GB"/>
              </w:rPr>
              <w:t>n</w:t>
            </w:r>
            <w:r w:rsidR="008E4A71" w:rsidRPr="00363DE9">
              <w:rPr>
                <w:rFonts w:ascii="Arial" w:hAnsi="Arial" w:cs="Arial"/>
                <w:b/>
                <w:sz w:val="24"/>
                <w:lang w:eastAsia="en-GB"/>
              </w:rPr>
              <w:t xml:space="preserve">on-registrant </w:t>
            </w:r>
            <w:r w:rsidR="00AC1360" w:rsidRPr="00363DE9">
              <w:rPr>
                <w:rFonts w:ascii="Arial" w:hAnsi="Arial" w:cs="Arial"/>
                <w:b/>
                <w:sz w:val="24"/>
                <w:lang w:eastAsia="en-GB"/>
              </w:rPr>
              <w:t>m</w:t>
            </w:r>
            <w:r w:rsidR="008E4A71" w:rsidRPr="00363DE9">
              <w:rPr>
                <w:rFonts w:ascii="Arial" w:hAnsi="Arial" w:cs="Arial"/>
                <w:b/>
                <w:sz w:val="24"/>
                <w:lang w:eastAsia="en-GB"/>
              </w:rPr>
              <w:t>ember)</w:t>
            </w:r>
          </w:p>
          <w:p w14:paraId="0C90DDC0" w14:textId="0E34B81B" w:rsidR="008E4A71" w:rsidRPr="00363DE9" w:rsidRDefault="007A31A2" w:rsidP="00A759EC">
            <w:pPr>
              <w:rPr>
                <w:rFonts w:ascii="Arial" w:hAnsi="Arial" w:cs="Arial"/>
                <w:b/>
                <w:sz w:val="24"/>
                <w:lang w:eastAsia="en-GB"/>
              </w:rPr>
            </w:pPr>
            <w:r w:rsidRPr="00363DE9">
              <w:rPr>
                <w:rFonts w:ascii="Arial" w:hAnsi="Arial" w:cs="Arial"/>
                <w:b/>
                <w:sz w:val="24"/>
                <w:lang w:eastAsia="en-GB"/>
              </w:rPr>
              <w:t>Clare Mc</w:t>
            </w:r>
            <w:r w:rsidR="005A2DD1" w:rsidRPr="00363DE9">
              <w:rPr>
                <w:rFonts w:ascii="Arial" w:hAnsi="Arial" w:cs="Arial"/>
                <w:b/>
                <w:sz w:val="24"/>
                <w:lang w:eastAsia="en-GB"/>
              </w:rPr>
              <w:t>I</w:t>
            </w:r>
            <w:r w:rsidRPr="00363DE9">
              <w:rPr>
                <w:rFonts w:ascii="Arial" w:hAnsi="Arial" w:cs="Arial"/>
                <w:b/>
                <w:sz w:val="24"/>
                <w:lang w:eastAsia="en-GB"/>
              </w:rPr>
              <w:t>lwaine</w:t>
            </w:r>
            <w:r w:rsidR="008E4A71" w:rsidRPr="00363DE9">
              <w:rPr>
                <w:rFonts w:ascii="Arial" w:hAnsi="Arial" w:cs="Arial"/>
                <w:b/>
                <w:sz w:val="24"/>
                <w:lang w:eastAsia="en-GB"/>
              </w:rPr>
              <w:t xml:space="preserve"> (DCP </w:t>
            </w:r>
            <w:r w:rsidR="00AC1360" w:rsidRPr="00363DE9">
              <w:rPr>
                <w:rFonts w:ascii="Arial" w:hAnsi="Arial" w:cs="Arial"/>
                <w:b/>
                <w:sz w:val="24"/>
                <w:lang w:eastAsia="en-GB"/>
              </w:rPr>
              <w:t>m</w:t>
            </w:r>
            <w:r w:rsidR="008E4A71" w:rsidRPr="00363DE9">
              <w:rPr>
                <w:rFonts w:ascii="Arial" w:hAnsi="Arial" w:cs="Arial"/>
                <w:b/>
                <w:sz w:val="24"/>
                <w:lang w:eastAsia="en-GB"/>
              </w:rPr>
              <w:t>ember)</w:t>
            </w:r>
          </w:p>
          <w:p w14:paraId="2C97BD82" w14:textId="4C951433" w:rsidR="008E4A71" w:rsidRPr="00363DE9" w:rsidRDefault="005A2DD1" w:rsidP="00A759EC">
            <w:pPr>
              <w:rPr>
                <w:rFonts w:ascii="Arial" w:hAnsi="Arial" w:cs="Arial"/>
                <w:b/>
                <w:sz w:val="24"/>
                <w:lang w:eastAsia="en-GB"/>
              </w:rPr>
            </w:pPr>
            <w:r w:rsidRPr="00363DE9">
              <w:rPr>
                <w:rFonts w:ascii="Arial" w:hAnsi="Arial" w:cs="Arial"/>
                <w:b/>
                <w:sz w:val="24"/>
                <w:lang w:eastAsia="en-GB"/>
              </w:rPr>
              <w:t>Kevin Seymour</w:t>
            </w:r>
            <w:r w:rsidR="008E4A71" w:rsidRPr="00363DE9">
              <w:rPr>
                <w:rFonts w:ascii="Arial" w:hAnsi="Arial" w:cs="Arial"/>
                <w:b/>
                <w:sz w:val="24"/>
                <w:lang w:eastAsia="en-GB"/>
              </w:rPr>
              <w:t xml:space="preserve"> (Dentist </w:t>
            </w:r>
            <w:r w:rsidR="00AC1360" w:rsidRPr="00363DE9">
              <w:rPr>
                <w:rFonts w:ascii="Arial" w:hAnsi="Arial" w:cs="Arial"/>
                <w:b/>
                <w:sz w:val="24"/>
                <w:lang w:eastAsia="en-GB"/>
              </w:rPr>
              <w:t>m</w:t>
            </w:r>
            <w:r w:rsidR="008E4A71" w:rsidRPr="00363DE9">
              <w:rPr>
                <w:rFonts w:ascii="Arial" w:hAnsi="Arial" w:cs="Arial"/>
                <w:b/>
                <w:sz w:val="24"/>
                <w:lang w:eastAsia="en-GB"/>
              </w:rPr>
              <w:t>ember)</w:t>
            </w:r>
          </w:p>
          <w:p w14:paraId="094A288F" w14:textId="352335E1" w:rsidR="00F314DB" w:rsidRDefault="005A2DD1" w:rsidP="00A759EC">
            <w:pPr>
              <w:rPr>
                <w:rFonts w:ascii="Arial" w:hAnsi="Arial" w:cs="Arial"/>
                <w:b/>
                <w:sz w:val="24"/>
                <w:lang w:eastAsia="en-GB"/>
              </w:rPr>
            </w:pPr>
            <w:r>
              <w:rPr>
                <w:rFonts w:ascii="Arial" w:hAnsi="Arial" w:cs="Arial"/>
                <w:b/>
                <w:sz w:val="24"/>
                <w:lang w:eastAsia="en-GB"/>
              </w:rPr>
              <w:t>Kathryn Counsell-Hubbard (GDC Quality Assurance Manager)</w:t>
            </w:r>
          </w:p>
          <w:p w14:paraId="26988698" w14:textId="05C70BC5" w:rsidR="005A2DD1" w:rsidRPr="0084743E" w:rsidRDefault="005A2DD1" w:rsidP="00A759EC">
            <w:pPr>
              <w:rPr>
                <w:rFonts w:ascii="Arial" w:hAnsi="Arial" w:cs="Arial"/>
                <w:b/>
                <w:sz w:val="24"/>
                <w:lang w:eastAsia="en-GB"/>
              </w:rPr>
            </w:pPr>
            <w:r>
              <w:rPr>
                <w:rFonts w:ascii="Arial" w:hAnsi="Arial" w:cs="Arial"/>
                <w:b/>
                <w:sz w:val="24"/>
                <w:lang w:eastAsia="en-GB"/>
              </w:rPr>
              <w:t>Toni Wood (</w:t>
            </w:r>
            <w:r w:rsidR="00363DE9">
              <w:rPr>
                <w:rFonts w:ascii="Arial" w:hAnsi="Arial" w:cs="Arial"/>
                <w:b/>
                <w:sz w:val="24"/>
                <w:lang w:eastAsia="en-GB"/>
              </w:rPr>
              <w:t>GDC Education Quality Assurance Officer)</w:t>
            </w:r>
          </w:p>
          <w:p w14:paraId="544DE4E4" w14:textId="77777777" w:rsidR="008E4A71" w:rsidRPr="0084743E" w:rsidRDefault="008E4A71" w:rsidP="00A759EC">
            <w:pPr>
              <w:rPr>
                <w:rFonts w:ascii="Arial" w:eastAsia="Times New Roman" w:hAnsi="Arial" w:cs="Arial"/>
                <w:b/>
                <w:smallCaps/>
                <w:sz w:val="24"/>
                <w:szCs w:val="24"/>
                <w:lang w:eastAsia="en-GB"/>
              </w:rPr>
            </w:pPr>
          </w:p>
        </w:tc>
      </w:tr>
      <w:tr w:rsidR="00671D27" w:rsidRPr="0084743E" w14:paraId="0E0C9100" w14:textId="77777777" w:rsidTr="00A759EC">
        <w:tc>
          <w:tcPr>
            <w:tcW w:w="4106" w:type="dxa"/>
          </w:tcPr>
          <w:p w14:paraId="5424E9B4" w14:textId="0B32518D" w:rsidR="00671D27" w:rsidRPr="0084743E" w:rsidRDefault="00671D27" w:rsidP="00A759EC">
            <w:pPr>
              <w:pStyle w:val="Heading2"/>
              <w:ind w:right="-424"/>
              <w:rPr>
                <w:rFonts w:cs="Arial"/>
                <w:b/>
                <w:sz w:val="24"/>
                <w:szCs w:val="24"/>
                <w:lang w:val="en-GB"/>
              </w:rPr>
            </w:pPr>
            <w:r>
              <w:rPr>
                <w:rFonts w:cs="Arial"/>
                <w:b/>
                <w:sz w:val="24"/>
                <w:szCs w:val="24"/>
                <w:lang w:val="en-GB"/>
              </w:rPr>
              <w:t>Report Produced by:</w:t>
            </w:r>
          </w:p>
        </w:tc>
        <w:tc>
          <w:tcPr>
            <w:tcW w:w="5372" w:type="dxa"/>
          </w:tcPr>
          <w:p w14:paraId="2726941B" w14:textId="1F0C4412" w:rsidR="00671D27" w:rsidRPr="0084743E" w:rsidRDefault="00363DE9" w:rsidP="00A759EC">
            <w:pPr>
              <w:rPr>
                <w:rFonts w:ascii="Arial" w:hAnsi="Arial" w:cs="Arial"/>
                <w:b/>
                <w:sz w:val="24"/>
                <w:lang w:eastAsia="en-GB"/>
              </w:rPr>
            </w:pPr>
            <w:r>
              <w:rPr>
                <w:rFonts w:ascii="Arial" w:hAnsi="Arial" w:cs="Arial"/>
                <w:b/>
                <w:sz w:val="24"/>
                <w:lang w:eastAsia="en-GB"/>
              </w:rPr>
              <w:t>Kathryn Counsell-Hubbard</w:t>
            </w:r>
            <w:r w:rsidR="009D3FF5">
              <w:rPr>
                <w:rFonts w:ascii="Arial" w:hAnsi="Arial" w:cs="Arial"/>
                <w:b/>
                <w:sz w:val="24"/>
                <w:lang w:eastAsia="en-GB"/>
              </w:rPr>
              <w:t xml:space="preserve"> &amp; Toni Wood</w:t>
            </w:r>
          </w:p>
        </w:tc>
      </w:tr>
    </w:tbl>
    <w:p w14:paraId="16358435" w14:textId="77777777" w:rsidR="00E2148E" w:rsidRDefault="00E2148E" w:rsidP="00E2148E">
      <w:pPr>
        <w:spacing w:after="240" w:line="240" w:lineRule="auto"/>
        <w:rPr>
          <w:rFonts w:ascii="Arial" w:hAnsi="Arial" w:cs="Arial"/>
        </w:rPr>
      </w:pPr>
    </w:p>
    <w:p w14:paraId="47C9A8D2" w14:textId="6E6B1F61" w:rsidR="00AD6072" w:rsidRDefault="00AD6072" w:rsidP="00AD6072">
      <w:pPr>
        <w:spacing w:after="0" w:line="240" w:lineRule="auto"/>
        <w:rPr>
          <w:rFonts w:ascii="Arial" w:hAnsi="Arial" w:cs="Arial"/>
        </w:rPr>
      </w:pPr>
      <w:r>
        <w:rPr>
          <w:rFonts w:ascii="Arial" w:hAnsi="Arial" w:cs="Arial"/>
        </w:rPr>
        <w:t xml:space="preserve">The BSc (Hons) in Dental Hygiene and Dental Therapy programme (hereafter referred to as “the programme”) delivered by the University of Portsmouth (hereafter referred to as “the School” or “the provider”) is a well-resourced programme that offers students the opportunity to get ‘real world’ experience at </w:t>
      </w:r>
      <w:r w:rsidR="00B865AB">
        <w:rPr>
          <w:rFonts w:ascii="Arial" w:hAnsi="Arial" w:cs="Arial"/>
        </w:rPr>
        <w:t>its</w:t>
      </w:r>
      <w:r>
        <w:rPr>
          <w:rFonts w:ascii="Arial" w:hAnsi="Arial" w:cs="Arial"/>
        </w:rPr>
        <w:t xml:space="preserve"> own Dental Academy. </w:t>
      </w:r>
      <w:r w:rsidR="00E56CDD">
        <w:rPr>
          <w:rFonts w:ascii="Arial" w:hAnsi="Arial" w:cs="Arial"/>
        </w:rPr>
        <w:t>The Academy benefits from o</w:t>
      </w:r>
      <w:r>
        <w:rPr>
          <w:rFonts w:ascii="Arial" w:hAnsi="Arial" w:cs="Arial"/>
        </w:rPr>
        <w:t xml:space="preserve">ne of the clinical areas </w:t>
      </w:r>
      <w:r w:rsidR="00E56CDD">
        <w:rPr>
          <w:rFonts w:ascii="Arial" w:hAnsi="Arial" w:cs="Arial"/>
        </w:rPr>
        <w:t>mimicking</w:t>
      </w:r>
      <w:r>
        <w:rPr>
          <w:rFonts w:ascii="Arial" w:hAnsi="Arial" w:cs="Arial"/>
        </w:rPr>
        <w:t xml:space="preserve"> a general dental practice and</w:t>
      </w:r>
      <w:r w:rsidR="00E56CDD">
        <w:rPr>
          <w:rFonts w:ascii="Arial" w:hAnsi="Arial" w:cs="Arial"/>
        </w:rPr>
        <w:t xml:space="preserve"> thereby</w:t>
      </w:r>
      <w:r>
        <w:rPr>
          <w:rFonts w:ascii="Arial" w:hAnsi="Arial" w:cs="Arial"/>
        </w:rPr>
        <w:t xml:space="preserve"> gives students the essential insight into work</w:t>
      </w:r>
      <w:r w:rsidR="00E56CDD">
        <w:rPr>
          <w:rFonts w:ascii="Arial" w:hAnsi="Arial" w:cs="Arial"/>
        </w:rPr>
        <w:t>,</w:t>
      </w:r>
      <w:r>
        <w:rPr>
          <w:rFonts w:ascii="Arial" w:hAnsi="Arial" w:cs="Arial"/>
        </w:rPr>
        <w:t xml:space="preserve"> post-registration.</w:t>
      </w:r>
    </w:p>
    <w:p w14:paraId="71259762" w14:textId="77777777" w:rsidR="00E56CDD" w:rsidRDefault="00E56CDD" w:rsidP="00AD6072">
      <w:pPr>
        <w:spacing w:after="0" w:line="240" w:lineRule="auto"/>
        <w:rPr>
          <w:rFonts w:ascii="Arial" w:hAnsi="Arial" w:cs="Arial"/>
        </w:rPr>
      </w:pPr>
    </w:p>
    <w:p w14:paraId="4C981C2C" w14:textId="242A2421" w:rsidR="00E56CDD" w:rsidRDefault="00E56CDD" w:rsidP="00AD6072">
      <w:pPr>
        <w:spacing w:after="0" w:line="240" w:lineRule="auto"/>
        <w:rPr>
          <w:rFonts w:ascii="Arial" w:hAnsi="Arial" w:cs="Arial"/>
        </w:rPr>
      </w:pPr>
      <w:r>
        <w:rPr>
          <w:rFonts w:ascii="Arial" w:hAnsi="Arial" w:cs="Arial"/>
        </w:rPr>
        <w:t xml:space="preserve">Students also benefit from a small but supportive programme team who work hard to provide students with the support they need to complete their studies. </w:t>
      </w:r>
      <w:r w:rsidR="004F63E3">
        <w:rPr>
          <w:rFonts w:ascii="Arial" w:hAnsi="Arial" w:cs="Arial"/>
        </w:rPr>
        <w:t xml:space="preserve">Having managed to continue running the programme through the COVID-19 pandemic, the programme team may face additional challenges due to a University-wide restructure. </w:t>
      </w:r>
      <w:r>
        <w:rPr>
          <w:rFonts w:ascii="Arial" w:hAnsi="Arial" w:cs="Arial"/>
        </w:rPr>
        <w:t xml:space="preserve">The Dental Academy currently comprises its own school within the </w:t>
      </w:r>
      <w:r w:rsidR="004F63E3">
        <w:rPr>
          <w:rFonts w:ascii="Arial" w:hAnsi="Arial" w:cs="Arial"/>
        </w:rPr>
        <w:t xml:space="preserve">Faculty of Science and </w:t>
      </w:r>
      <w:r w:rsidR="00E85C5C">
        <w:rPr>
          <w:rFonts w:ascii="Arial" w:hAnsi="Arial" w:cs="Arial"/>
        </w:rPr>
        <w:t>Health,</w:t>
      </w:r>
      <w:r w:rsidR="004F63E3">
        <w:rPr>
          <w:rFonts w:ascii="Arial" w:hAnsi="Arial" w:cs="Arial"/>
        </w:rPr>
        <w:t xml:space="preserve"> but the number </w:t>
      </w:r>
      <w:r w:rsidR="00F976BB">
        <w:rPr>
          <w:rFonts w:ascii="Arial" w:hAnsi="Arial" w:cs="Arial"/>
        </w:rPr>
        <w:t>of schools</w:t>
      </w:r>
      <w:r w:rsidR="002E4205">
        <w:rPr>
          <w:rFonts w:ascii="Arial" w:hAnsi="Arial" w:cs="Arial"/>
        </w:rPr>
        <w:t xml:space="preserve"> </w:t>
      </w:r>
      <w:r w:rsidR="004F63E3">
        <w:rPr>
          <w:rFonts w:ascii="Arial" w:hAnsi="Arial" w:cs="Arial"/>
        </w:rPr>
        <w:t>will be consolidated</w:t>
      </w:r>
      <w:r w:rsidR="002E4205">
        <w:rPr>
          <w:rFonts w:ascii="Arial" w:hAnsi="Arial" w:cs="Arial"/>
        </w:rPr>
        <w:t xml:space="preserve"> to increase efficiency of resource</w:t>
      </w:r>
      <w:r w:rsidR="004F63E3">
        <w:rPr>
          <w:rFonts w:ascii="Arial" w:hAnsi="Arial" w:cs="Arial"/>
        </w:rPr>
        <w:t xml:space="preserve">. The Dental Academy will </w:t>
      </w:r>
      <w:r w:rsidR="002E4205">
        <w:rPr>
          <w:rFonts w:ascii="Arial" w:hAnsi="Arial" w:cs="Arial"/>
        </w:rPr>
        <w:t xml:space="preserve">combine with the School of Health Care Professions to become the School of Dental, Health and Care Professions, </w:t>
      </w:r>
      <w:r w:rsidR="004F63E3">
        <w:rPr>
          <w:rFonts w:ascii="Arial" w:hAnsi="Arial" w:cs="Arial"/>
        </w:rPr>
        <w:t>which is likely to include a</w:t>
      </w:r>
      <w:r w:rsidR="002E4205">
        <w:rPr>
          <w:rFonts w:ascii="Arial" w:hAnsi="Arial" w:cs="Arial"/>
        </w:rPr>
        <w:t xml:space="preserve"> </w:t>
      </w:r>
      <w:r w:rsidR="00F976BB">
        <w:rPr>
          <w:rFonts w:ascii="Arial" w:hAnsi="Arial" w:cs="Arial"/>
        </w:rPr>
        <w:t>future expansion</w:t>
      </w:r>
      <w:r w:rsidR="004F63E3">
        <w:rPr>
          <w:rFonts w:ascii="Arial" w:hAnsi="Arial" w:cs="Arial"/>
        </w:rPr>
        <w:t xml:space="preserve"> to the dental education already offered.</w:t>
      </w:r>
    </w:p>
    <w:p w14:paraId="43926849" w14:textId="77777777" w:rsidR="004F63E3" w:rsidRDefault="004F63E3" w:rsidP="00AD6072">
      <w:pPr>
        <w:spacing w:after="0" w:line="240" w:lineRule="auto"/>
        <w:rPr>
          <w:rFonts w:ascii="Arial" w:hAnsi="Arial" w:cs="Arial"/>
        </w:rPr>
      </w:pPr>
    </w:p>
    <w:p w14:paraId="373A47CF" w14:textId="2C032C62" w:rsidR="004F63E3" w:rsidRDefault="004F63E3" w:rsidP="00AD6072">
      <w:pPr>
        <w:spacing w:after="0" w:line="240" w:lineRule="auto"/>
        <w:rPr>
          <w:rFonts w:ascii="Arial" w:hAnsi="Arial" w:cs="Arial"/>
        </w:rPr>
      </w:pPr>
      <w:r w:rsidRPr="7480ADA0">
        <w:rPr>
          <w:rFonts w:ascii="Arial" w:hAnsi="Arial" w:cs="Arial"/>
        </w:rPr>
        <w:t>While this is an exciting opportunity for the programme team, the potential for additional duties</w:t>
      </w:r>
      <w:r w:rsidR="006F2108">
        <w:rPr>
          <w:rFonts w:ascii="Arial" w:hAnsi="Arial" w:cs="Arial"/>
        </w:rPr>
        <w:t xml:space="preserve"> </w:t>
      </w:r>
      <w:proofErr w:type="gramStart"/>
      <w:r w:rsidR="006F2108">
        <w:rPr>
          <w:rFonts w:ascii="Arial" w:hAnsi="Arial" w:cs="Arial"/>
        </w:rPr>
        <w:t>as a result of</w:t>
      </w:r>
      <w:proofErr w:type="gramEnd"/>
      <w:r w:rsidR="006F2108">
        <w:rPr>
          <w:rFonts w:ascii="Arial" w:hAnsi="Arial" w:cs="Arial"/>
        </w:rPr>
        <w:t xml:space="preserve"> the </w:t>
      </w:r>
      <w:r w:rsidR="00120298">
        <w:rPr>
          <w:rFonts w:ascii="Arial" w:hAnsi="Arial" w:cs="Arial"/>
        </w:rPr>
        <w:t xml:space="preserve">expansion, </w:t>
      </w:r>
      <w:r w:rsidR="00120298" w:rsidRPr="7480ADA0">
        <w:rPr>
          <w:rFonts w:ascii="Arial" w:hAnsi="Arial" w:cs="Arial"/>
        </w:rPr>
        <w:t>along</w:t>
      </w:r>
      <w:r w:rsidR="006F2108">
        <w:rPr>
          <w:rFonts w:ascii="Arial" w:hAnsi="Arial" w:cs="Arial"/>
        </w:rPr>
        <w:t xml:space="preserve"> with increased </w:t>
      </w:r>
      <w:r w:rsidRPr="7480ADA0">
        <w:rPr>
          <w:rFonts w:ascii="Arial" w:hAnsi="Arial" w:cs="Arial"/>
        </w:rPr>
        <w:t>stress</w:t>
      </w:r>
      <w:r w:rsidR="006F2108">
        <w:rPr>
          <w:rFonts w:ascii="Arial" w:hAnsi="Arial" w:cs="Arial"/>
        </w:rPr>
        <w:t>,</w:t>
      </w:r>
      <w:r w:rsidRPr="7480ADA0">
        <w:rPr>
          <w:rFonts w:ascii="Arial" w:hAnsi="Arial" w:cs="Arial"/>
        </w:rPr>
        <w:t xml:space="preserve"> is considerable. Such changes may also impact on the clinical agreement with King’s College London, whereby </w:t>
      </w:r>
      <w:r w:rsidRPr="7480ADA0">
        <w:rPr>
          <w:rFonts w:ascii="Arial" w:hAnsi="Arial" w:cs="Arial"/>
        </w:rPr>
        <w:lastRenderedPageBreak/>
        <w:t xml:space="preserve">BDS students attend the Dental Academy for a period of outreach. This allows the hygiene and therapy students the opportunity to work with BDS students. </w:t>
      </w:r>
    </w:p>
    <w:p w14:paraId="2115B637" w14:textId="77777777" w:rsidR="004F63E3" w:rsidRDefault="004F63E3" w:rsidP="00AD6072">
      <w:pPr>
        <w:spacing w:after="0" w:line="240" w:lineRule="auto"/>
        <w:rPr>
          <w:rFonts w:ascii="Arial" w:hAnsi="Arial" w:cs="Arial"/>
        </w:rPr>
      </w:pPr>
    </w:p>
    <w:p w14:paraId="5B0634DC" w14:textId="7A28144B" w:rsidR="004F63E3" w:rsidRDefault="004F63E3" w:rsidP="00AD6072">
      <w:pPr>
        <w:spacing w:after="0" w:line="240" w:lineRule="auto"/>
        <w:rPr>
          <w:rFonts w:ascii="Arial" w:hAnsi="Arial" w:cs="Arial"/>
        </w:rPr>
      </w:pPr>
      <w:r>
        <w:rPr>
          <w:rFonts w:ascii="Arial" w:hAnsi="Arial" w:cs="Arial"/>
        </w:rPr>
        <w:t xml:space="preserve">The panel were impressed by </w:t>
      </w:r>
      <w:proofErr w:type="gramStart"/>
      <w:r>
        <w:rPr>
          <w:rFonts w:ascii="Arial" w:hAnsi="Arial" w:cs="Arial"/>
        </w:rPr>
        <w:t>a number of</w:t>
      </w:r>
      <w:proofErr w:type="gramEnd"/>
      <w:r>
        <w:rPr>
          <w:rFonts w:ascii="Arial" w:hAnsi="Arial" w:cs="Arial"/>
        </w:rPr>
        <w:t xml:space="preserve"> processes in place, as well as with the commitment of the programme team and the facilities on offer. The ability for </w:t>
      </w:r>
      <w:r w:rsidR="00511F04">
        <w:rPr>
          <w:rFonts w:ascii="Arial" w:hAnsi="Arial" w:cs="Arial"/>
        </w:rPr>
        <w:t xml:space="preserve">the </w:t>
      </w:r>
      <w:r>
        <w:rPr>
          <w:rFonts w:ascii="Arial" w:hAnsi="Arial" w:cs="Arial"/>
        </w:rPr>
        <w:t>current programme to operate in the same way following the restructure is uncertain, and the panel would like to revisit the School after the restructure has taken place and the changes have been embedded. Until that time, the programme team should be assured that their hard work has been noted and that the programme on offer is exemplary.</w:t>
      </w:r>
    </w:p>
    <w:p w14:paraId="7810A933" w14:textId="77777777" w:rsidR="00AD6072" w:rsidRDefault="00AD6072" w:rsidP="00AD6072">
      <w:pPr>
        <w:spacing w:after="0" w:line="240" w:lineRule="auto"/>
        <w:rPr>
          <w:rFonts w:ascii="Arial" w:hAnsi="Arial" w:cs="Arial"/>
        </w:rPr>
      </w:pPr>
    </w:p>
    <w:p w14:paraId="0C57275D" w14:textId="3C316618" w:rsidR="00564251" w:rsidRPr="0084743E" w:rsidRDefault="00564251" w:rsidP="00564251">
      <w:pPr>
        <w:spacing w:after="240" w:line="240" w:lineRule="auto"/>
        <w:rPr>
          <w:rFonts w:ascii="Arial" w:hAnsi="Arial" w:cs="Arial"/>
        </w:rPr>
      </w:pPr>
      <w:r w:rsidRPr="0084743E">
        <w:rPr>
          <w:rFonts w:ascii="Arial" w:hAnsi="Arial" w:cs="Arial"/>
        </w:rPr>
        <w:t xml:space="preserve">The GDC wishes to thank the staff, students, and external stakeholders involved with the </w:t>
      </w:r>
      <w:r w:rsidR="004F63E3">
        <w:rPr>
          <w:rFonts w:ascii="Arial" w:hAnsi="Arial" w:cs="Arial"/>
        </w:rPr>
        <w:t>BSc (Hons) in Dental Hygiene and Dental Therapy programme</w:t>
      </w:r>
      <w:r w:rsidR="009642CA" w:rsidRPr="0084743E">
        <w:rPr>
          <w:rFonts w:ascii="Arial" w:hAnsi="Arial" w:cs="Arial"/>
        </w:rPr>
        <w:t xml:space="preserve"> </w:t>
      </w:r>
      <w:r w:rsidRPr="0084743E">
        <w:rPr>
          <w:rFonts w:ascii="Arial" w:hAnsi="Arial" w:cs="Arial"/>
        </w:rPr>
        <w:t>for their co-operation and assistance with the inspection.</w:t>
      </w:r>
    </w:p>
    <w:p w14:paraId="35F3D784" w14:textId="77777777" w:rsidR="00767F91" w:rsidRDefault="00767F91">
      <w:pPr>
        <w:rPr>
          <w:rFonts w:ascii="Arial" w:hAnsi="Arial" w:cs="Arial"/>
          <w:b/>
          <w:color w:val="244061"/>
          <w:sz w:val="28"/>
          <w:szCs w:val="28"/>
        </w:rPr>
      </w:pPr>
    </w:p>
    <w:p w14:paraId="2180ED29" w14:textId="77777777" w:rsidR="00767F91" w:rsidRDefault="00767F91">
      <w:pPr>
        <w:rPr>
          <w:rFonts w:ascii="Arial" w:hAnsi="Arial" w:cs="Arial"/>
          <w:b/>
          <w:color w:val="244061"/>
          <w:sz w:val="28"/>
          <w:szCs w:val="28"/>
        </w:rPr>
      </w:pPr>
    </w:p>
    <w:p w14:paraId="37C73F73" w14:textId="75AC3FDC" w:rsidR="00E2148E" w:rsidRPr="0084743E" w:rsidRDefault="00F671FD" w:rsidP="00E2148E">
      <w:pPr>
        <w:rPr>
          <w:rFonts w:ascii="Arial" w:hAnsi="Arial" w:cs="Arial"/>
          <w:b/>
          <w:color w:val="244061"/>
          <w:sz w:val="28"/>
          <w:szCs w:val="28"/>
        </w:rPr>
      </w:pPr>
      <w:r w:rsidRPr="0084743E">
        <w:rPr>
          <w:rFonts w:ascii="Arial" w:hAnsi="Arial" w:cs="Arial"/>
          <w:b/>
          <w:color w:val="244061"/>
          <w:sz w:val="28"/>
          <w:szCs w:val="28"/>
        </w:rPr>
        <w:br w:type="page"/>
      </w:r>
      <w:r w:rsidR="00E2148E" w:rsidRPr="0084743E">
        <w:rPr>
          <w:rFonts w:ascii="Arial" w:hAnsi="Arial" w:cs="Arial"/>
          <w:b/>
          <w:color w:val="244061"/>
          <w:sz w:val="28"/>
          <w:szCs w:val="28"/>
        </w:rPr>
        <w:lastRenderedPageBreak/>
        <w:t xml:space="preserve">Background and overview of </w:t>
      </w:r>
      <w:r w:rsidR="000957F1" w:rsidRPr="0084743E">
        <w:rPr>
          <w:rFonts w:ascii="Arial" w:hAnsi="Arial" w:cs="Arial"/>
          <w:b/>
          <w:color w:val="244061"/>
          <w:sz w:val="28"/>
          <w:szCs w:val="28"/>
        </w:rPr>
        <w:t>q</w:t>
      </w:r>
      <w:r w:rsidR="00E2148E" w:rsidRPr="0084743E">
        <w:rPr>
          <w:rFonts w:ascii="Arial" w:hAnsi="Arial" w:cs="Arial"/>
          <w:b/>
          <w:color w:val="244061"/>
          <w:sz w:val="28"/>
          <w:szCs w:val="28"/>
        </w:rPr>
        <w:t>ualification</w:t>
      </w:r>
      <w:r w:rsidR="00887BB3">
        <w:rPr>
          <w:rFonts w:ascii="Arial" w:hAnsi="Arial" w:cs="Arial"/>
          <w:b/>
          <w:color w:val="244061"/>
          <w:sz w:val="28"/>
          <w:szCs w:val="28"/>
        </w:rPr>
        <w:t>:</w:t>
      </w:r>
      <w:r w:rsidR="00E2148E" w:rsidRPr="0084743E">
        <w:rPr>
          <w:rFonts w:ascii="Arial" w:hAnsi="Arial" w:cs="Arial"/>
          <w:b/>
          <w:color w:val="244061"/>
          <w:sz w:val="28"/>
          <w:szCs w:val="28"/>
        </w:rPr>
        <w:t xml:space="preserve"> </w:t>
      </w:r>
    </w:p>
    <w:tbl>
      <w:tblPr>
        <w:tblStyle w:val="TableGrid"/>
        <w:tblW w:w="0" w:type="auto"/>
        <w:tblLook w:val="04A0" w:firstRow="1" w:lastRow="0" w:firstColumn="1" w:lastColumn="0" w:noHBand="0" w:noVBand="1"/>
      </w:tblPr>
      <w:tblGrid>
        <w:gridCol w:w="2830"/>
        <w:gridCol w:w="6186"/>
      </w:tblGrid>
      <w:tr w:rsidR="00E2148E" w:rsidRPr="0084743E" w14:paraId="0984E13C" w14:textId="77777777" w:rsidTr="00AC1360">
        <w:tc>
          <w:tcPr>
            <w:tcW w:w="2830" w:type="dxa"/>
          </w:tcPr>
          <w:p w14:paraId="71D9EAC0" w14:textId="77777777" w:rsidR="00E2148E" w:rsidRPr="0084743E" w:rsidRDefault="00E2148E" w:rsidP="00A759EC">
            <w:pPr>
              <w:rPr>
                <w:rFonts w:ascii="Arial" w:hAnsi="Arial" w:cs="Arial"/>
              </w:rPr>
            </w:pPr>
            <w:r w:rsidRPr="0084743E">
              <w:rPr>
                <w:rFonts w:ascii="Arial" w:hAnsi="Arial" w:cs="Arial"/>
              </w:rPr>
              <w:t>Annual intake</w:t>
            </w:r>
          </w:p>
        </w:tc>
        <w:tc>
          <w:tcPr>
            <w:tcW w:w="6186" w:type="dxa"/>
          </w:tcPr>
          <w:p w14:paraId="500FCEFF" w14:textId="723468E5" w:rsidR="00E2148E" w:rsidRPr="0084743E" w:rsidRDefault="00887BB3" w:rsidP="00A759EC">
            <w:pPr>
              <w:rPr>
                <w:rFonts w:ascii="Arial" w:hAnsi="Arial" w:cs="Arial"/>
              </w:rPr>
            </w:pPr>
            <w:r>
              <w:rPr>
                <w:rFonts w:ascii="Arial" w:hAnsi="Arial" w:cs="Arial"/>
              </w:rPr>
              <w:t xml:space="preserve"> 36</w:t>
            </w:r>
            <w:r w:rsidR="00E2148E" w:rsidRPr="0084743E">
              <w:rPr>
                <w:rFonts w:ascii="Arial" w:hAnsi="Arial" w:cs="Arial"/>
              </w:rPr>
              <w:t xml:space="preserve"> students</w:t>
            </w:r>
          </w:p>
        </w:tc>
      </w:tr>
      <w:tr w:rsidR="00E2148E" w:rsidRPr="0084743E" w14:paraId="21851DCB" w14:textId="77777777" w:rsidTr="00AC1360">
        <w:tc>
          <w:tcPr>
            <w:tcW w:w="2830" w:type="dxa"/>
          </w:tcPr>
          <w:p w14:paraId="49C1710B" w14:textId="77777777" w:rsidR="00E2148E" w:rsidRPr="0084743E" w:rsidRDefault="00E2148E" w:rsidP="00A759EC">
            <w:pPr>
              <w:rPr>
                <w:rFonts w:ascii="Arial" w:hAnsi="Arial" w:cs="Arial"/>
              </w:rPr>
            </w:pPr>
            <w:r w:rsidRPr="0084743E">
              <w:rPr>
                <w:rFonts w:ascii="Arial" w:hAnsi="Arial" w:cs="Arial"/>
              </w:rPr>
              <w:t>Programme duration</w:t>
            </w:r>
          </w:p>
        </w:tc>
        <w:tc>
          <w:tcPr>
            <w:tcW w:w="6186" w:type="dxa"/>
          </w:tcPr>
          <w:p w14:paraId="1D1AA052" w14:textId="31EB37FD" w:rsidR="00E2148E" w:rsidRPr="0084743E" w:rsidRDefault="00E2148E" w:rsidP="00A759EC">
            <w:pPr>
              <w:rPr>
                <w:rFonts w:ascii="Arial" w:hAnsi="Arial" w:cs="Arial"/>
              </w:rPr>
            </w:pPr>
            <w:r w:rsidRPr="0084743E">
              <w:rPr>
                <w:rFonts w:ascii="Arial" w:hAnsi="Arial" w:cs="Arial"/>
              </w:rPr>
              <w:t>X</w:t>
            </w:r>
            <w:r w:rsidR="00887BB3">
              <w:rPr>
                <w:rFonts w:ascii="Arial" w:hAnsi="Arial" w:cs="Arial"/>
              </w:rPr>
              <w:t xml:space="preserve"> 36</w:t>
            </w:r>
            <w:r w:rsidRPr="0084743E">
              <w:rPr>
                <w:rFonts w:ascii="Arial" w:hAnsi="Arial" w:cs="Arial"/>
              </w:rPr>
              <w:t xml:space="preserve"> weeks over </w:t>
            </w:r>
            <w:r w:rsidR="00887BB3">
              <w:rPr>
                <w:rFonts w:ascii="Arial" w:hAnsi="Arial" w:cs="Arial"/>
              </w:rPr>
              <w:t xml:space="preserve">3 </w:t>
            </w:r>
            <w:r w:rsidRPr="0084743E">
              <w:rPr>
                <w:rFonts w:ascii="Arial" w:hAnsi="Arial" w:cs="Arial"/>
              </w:rPr>
              <w:t>years</w:t>
            </w:r>
          </w:p>
        </w:tc>
      </w:tr>
      <w:tr w:rsidR="00E2148E" w:rsidRPr="0084743E" w14:paraId="66A1D4C6" w14:textId="77777777" w:rsidTr="00AC1360">
        <w:tc>
          <w:tcPr>
            <w:tcW w:w="2830" w:type="dxa"/>
          </w:tcPr>
          <w:p w14:paraId="0AD4AA79" w14:textId="77777777" w:rsidR="00E2148E" w:rsidRPr="0084743E" w:rsidRDefault="00E2148E" w:rsidP="00A759EC">
            <w:pPr>
              <w:rPr>
                <w:rFonts w:ascii="Arial" w:hAnsi="Arial" w:cs="Arial"/>
              </w:rPr>
            </w:pPr>
            <w:r w:rsidRPr="0084743E">
              <w:rPr>
                <w:rFonts w:ascii="Arial" w:hAnsi="Arial" w:cs="Arial"/>
              </w:rPr>
              <w:t>Format of programme</w:t>
            </w:r>
          </w:p>
        </w:tc>
        <w:tc>
          <w:tcPr>
            <w:tcW w:w="6186" w:type="dxa"/>
          </w:tcPr>
          <w:p w14:paraId="62C61F59" w14:textId="77777777" w:rsidR="00E2148E" w:rsidRPr="0084743E" w:rsidRDefault="00E2148E" w:rsidP="00A759EC">
            <w:pPr>
              <w:rPr>
                <w:rFonts w:ascii="Arial" w:hAnsi="Arial" w:cs="Arial"/>
              </w:rPr>
            </w:pPr>
            <w:r w:rsidRPr="0084743E">
              <w:rPr>
                <w:rFonts w:ascii="Arial" w:hAnsi="Arial" w:cs="Arial"/>
              </w:rPr>
              <w:t>Year</w:t>
            </w:r>
          </w:p>
          <w:p w14:paraId="65AD72CB" w14:textId="21618B88" w:rsidR="00E2148E" w:rsidRPr="0084743E" w:rsidRDefault="00E2148E" w:rsidP="00A759EC">
            <w:pPr>
              <w:rPr>
                <w:rFonts w:ascii="Arial" w:hAnsi="Arial" w:cs="Arial"/>
              </w:rPr>
            </w:pPr>
            <w:r w:rsidRPr="0084743E">
              <w:rPr>
                <w:rFonts w:ascii="Arial" w:hAnsi="Arial" w:cs="Arial"/>
              </w:rPr>
              <w:t xml:space="preserve">1: </w:t>
            </w:r>
            <w:r w:rsidR="00887BB3">
              <w:rPr>
                <w:rFonts w:ascii="Arial" w:hAnsi="Arial" w:cs="Arial"/>
              </w:rPr>
              <w:t xml:space="preserve">Fundamental scientific </w:t>
            </w:r>
            <w:r w:rsidRPr="0084743E">
              <w:rPr>
                <w:rFonts w:ascii="Arial" w:hAnsi="Arial" w:cs="Arial"/>
              </w:rPr>
              <w:t xml:space="preserve">knowledge, </w:t>
            </w:r>
            <w:r w:rsidR="00887BB3">
              <w:rPr>
                <w:rFonts w:ascii="Arial" w:hAnsi="Arial" w:cs="Arial"/>
              </w:rPr>
              <w:t xml:space="preserve">pre-clinical simulated skills, introduction to </w:t>
            </w:r>
            <w:r w:rsidRPr="0084743E">
              <w:rPr>
                <w:rFonts w:ascii="Arial" w:hAnsi="Arial" w:cs="Arial"/>
              </w:rPr>
              <w:t>clinic</w:t>
            </w:r>
            <w:r w:rsidR="00887BB3">
              <w:rPr>
                <w:rFonts w:ascii="Arial" w:hAnsi="Arial" w:cs="Arial"/>
              </w:rPr>
              <w:t>, foundations of evidence-based practice</w:t>
            </w:r>
          </w:p>
          <w:p w14:paraId="4A19D14D" w14:textId="60DAC601" w:rsidR="00E2148E" w:rsidRPr="0084743E" w:rsidRDefault="00E2148E" w:rsidP="00A759EC">
            <w:pPr>
              <w:rPr>
                <w:rFonts w:ascii="Arial" w:hAnsi="Arial" w:cs="Arial"/>
              </w:rPr>
            </w:pPr>
            <w:r w:rsidRPr="0084743E">
              <w:rPr>
                <w:rFonts w:ascii="Arial" w:hAnsi="Arial" w:cs="Arial"/>
              </w:rPr>
              <w:t xml:space="preserve">2: </w:t>
            </w:r>
            <w:r w:rsidR="00887BB3">
              <w:rPr>
                <w:rFonts w:ascii="Arial" w:hAnsi="Arial" w:cs="Arial"/>
              </w:rPr>
              <w:t xml:space="preserve">Applied scientific </w:t>
            </w:r>
            <w:r w:rsidRPr="0084743E">
              <w:rPr>
                <w:rFonts w:ascii="Arial" w:hAnsi="Arial" w:cs="Arial"/>
              </w:rPr>
              <w:t>knowledge</w:t>
            </w:r>
            <w:r w:rsidR="00887BB3">
              <w:rPr>
                <w:rFonts w:ascii="Arial" w:hAnsi="Arial" w:cs="Arial"/>
              </w:rPr>
              <w:t xml:space="preserve"> including dental radiography, direct patient treatment, introduction to research skills, paediatric pre-clinical skills</w:t>
            </w:r>
          </w:p>
          <w:p w14:paraId="5B7F64F7" w14:textId="2783EA16" w:rsidR="00E2148E" w:rsidRPr="0084743E" w:rsidRDefault="00E2148E" w:rsidP="00A759EC">
            <w:pPr>
              <w:rPr>
                <w:rFonts w:ascii="Arial" w:hAnsi="Arial" w:cs="Arial"/>
              </w:rPr>
            </w:pPr>
            <w:r w:rsidRPr="0084743E">
              <w:rPr>
                <w:rFonts w:ascii="Arial" w:hAnsi="Arial" w:cs="Arial"/>
              </w:rPr>
              <w:t xml:space="preserve">3: </w:t>
            </w:r>
            <w:r w:rsidR="00887BB3">
              <w:rPr>
                <w:rFonts w:ascii="Arial" w:hAnsi="Arial" w:cs="Arial"/>
              </w:rPr>
              <w:t>D</w:t>
            </w:r>
            <w:r w:rsidRPr="0084743E">
              <w:rPr>
                <w:rFonts w:ascii="Arial" w:hAnsi="Arial" w:cs="Arial"/>
              </w:rPr>
              <w:t>irect patient treatment</w:t>
            </w:r>
            <w:r w:rsidR="00887BB3">
              <w:rPr>
                <w:rFonts w:ascii="Arial" w:hAnsi="Arial" w:cs="Arial"/>
              </w:rPr>
              <w:t xml:space="preserve">, collaborative care outreach, applied research skills, </w:t>
            </w:r>
            <w:proofErr w:type="gramStart"/>
            <w:r w:rsidR="00887BB3">
              <w:rPr>
                <w:rFonts w:ascii="Arial" w:hAnsi="Arial" w:cs="Arial"/>
              </w:rPr>
              <w:t>leadership</w:t>
            </w:r>
            <w:proofErr w:type="gramEnd"/>
            <w:r w:rsidR="00887BB3">
              <w:rPr>
                <w:rFonts w:ascii="Arial" w:hAnsi="Arial" w:cs="Arial"/>
              </w:rPr>
              <w:t xml:space="preserve"> and management skills.</w:t>
            </w:r>
          </w:p>
          <w:p w14:paraId="41514A72" w14:textId="36BFAA26" w:rsidR="00E2148E" w:rsidRPr="0084743E" w:rsidRDefault="00E2148E" w:rsidP="00A759EC">
            <w:pPr>
              <w:rPr>
                <w:rFonts w:ascii="Arial" w:hAnsi="Arial" w:cs="Arial"/>
              </w:rPr>
            </w:pPr>
          </w:p>
        </w:tc>
      </w:tr>
      <w:tr w:rsidR="00E2148E" w:rsidRPr="0084743E" w14:paraId="6266D366" w14:textId="77777777" w:rsidTr="00AC1360">
        <w:tc>
          <w:tcPr>
            <w:tcW w:w="2830" w:type="dxa"/>
          </w:tcPr>
          <w:p w14:paraId="696C9634" w14:textId="4CB68B22" w:rsidR="00E2148E" w:rsidRPr="0084743E" w:rsidRDefault="00E2148E" w:rsidP="00A759EC">
            <w:pPr>
              <w:rPr>
                <w:rFonts w:ascii="Arial" w:hAnsi="Arial" w:cs="Arial"/>
              </w:rPr>
            </w:pPr>
            <w:r w:rsidRPr="0084743E">
              <w:rPr>
                <w:rFonts w:ascii="Arial" w:hAnsi="Arial" w:cs="Arial"/>
              </w:rPr>
              <w:t>Number of providers delivering the programme</w:t>
            </w:r>
            <w:r w:rsidR="00DB0397" w:rsidRPr="0084743E">
              <w:rPr>
                <w:rFonts w:ascii="Arial" w:hAnsi="Arial" w:cs="Arial"/>
              </w:rPr>
              <w:t xml:space="preserve"> </w:t>
            </w:r>
          </w:p>
        </w:tc>
        <w:tc>
          <w:tcPr>
            <w:tcW w:w="6186" w:type="dxa"/>
          </w:tcPr>
          <w:p w14:paraId="05CB46C6" w14:textId="202A3907" w:rsidR="00E2148E" w:rsidRPr="0084743E" w:rsidRDefault="00887BB3" w:rsidP="00A759EC">
            <w:pPr>
              <w:rPr>
                <w:rFonts w:ascii="Arial" w:hAnsi="Arial" w:cs="Arial"/>
              </w:rPr>
            </w:pPr>
            <w:r w:rsidRPr="00F97E7A">
              <w:rPr>
                <w:rFonts w:ascii="Arial" w:hAnsi="Arial" w:cs="Arial"/>
              </w:rPr>
              <w:t xml:space="preserve"> 1 – University of Portsmouth</w:t>
            </w:r>
          </w:p>
        </w:tc>
      </w:tr>
    </w:tbl>
    <w:p w14:paraId="1DC8D61C" w14:textId="77777777" w:rsidR="00E2148E" w:rsidRPr="0084743E" w:rsidRDefault="00E2148E" w:rsidP="00E2148E">
      <w:pPr>
        <w:spacing w:after="240" w:line="240" w:lineRule="auto"/>
        <w:rPr>
          <w:rFonts w:ascii="Arial" w:hAnsi="Arial" w:cs="Arial"/>
        </w:rPr>
      </w:pPr>
    </w:p>
    <w:p w14:paraId="47398EDA" w14:textId="77777777" w:rsidR="00E2148E" w:rsidRPr="0084743E" w:rsidRDefault="00E2148E" w:rsidP="00E2148E">
      <w:pPr>
        <w:rPr>
          <w:rFonts w:ascii="Arial" w:hAnsi="Arial" w:cs="Arial"/>
        </w:rPr>
      </w:pPr>
      <w:r w:rsidRPr="0084743E">
        <w:rPr>
          <w:rFonts w:ascii="Arial" w:hAnsi="Arial" w:cs="Arial"/>
        </w:rPr>
        <w:br w:type="page"/>
      </w:r>
    </w:p>
    <w:p w14:paraId="6F542D3F" w14:textId="0DF7EEA0" w:rsidR="000957F1" w:rsidRPr="0084743E" w:rsidRDefault="00F671FD" w:rsidP="00E2148E">
      <w:pPr>
        <w:rPr>
          <w:rFonts w:ascii="Arial" w:hAnsi="Arial" w:cs="Arial"/>
          <w:color w:val="1F3864" w:themeColor="accent1" w:themeShade="80"/>
          <w:sz w:val="24"/>
        </w:rPr>
      </w:pPr>
      <w:r w:rsidRPr="0084743E">
        <w:rPr>
          <w:rFonts w:ascii="Arial" w:hAnsi="Arial" w:cs="Arial"/>
          <w:b/>
          <w:color w:val="1F3864" w:themeColor="accent1" w:themeShade="80"/>
          <w:sz w:val="28"/>
        </w:rPr>
        <w:lastRenderedPageBreak/>
        <w:t>Outcome of relevant Requirements</w:t>
      </w:r>
      <w:r w:rsidRPr="0084743E">
        <w:rPr>
          <w:rStyle w:val="FootnoteReference"/>
          <w:rFonts w:ascii="Arial" w:hAnsi="Arial" w:cs="Arial"/>
          <w:b/>
          <w:color w:val="1F3864" w:themeColor="accent1" w:themeShade="80"/>
          <w:sz w:val="28"/>
        </w:rPr>
        <w:footnoteReference w:id="2"/>
      </w:r>
    </w:p>
    <w:tbl>
      <w:tblPr>
        <w:tblStyle w:val="TableGrid"/>
        <w:tblW w:w="9464" w:type="dxa"/>
        <w:tblLook w:val="04A0" w:firstRow="1" w:lastRow="0" w:firstColumn="1" w:lastColumn="0" w:noHBand="0" w:noVBand="1"/>
      </w:tblPr>
      <w:tblGrid>
        <w:gridCol w:w="4508"/>
        <w:gridCol w:w="4508"/>
        <w:gridCol w:w="448"/>
      </w:tblGrid>
      <w:tr w:rsidR="00E2148E" w:rsidRPr="0084743E" w14:paraId="76A828C8" w14:textId="77777777" w:rsidTr="7480ADA0">
        <w:trPr>
          <w:gridAfter w:val="1"/>
          <w:wAfter w:w="448" w:type="dxa"/>
        </w:trPr>
        <w:tc>
          <w:tcPr>
            <w:tcW w:w="9016" w:type="dxa"/>
            <w:gridSpan w:val="2"/>
            <w:shd w:val="clear" w:color="auto" w:fill="D9D9D9" w:themeFill="background1" w:themeFillShade="D9"/>
          </w:tcPr>
          <w:p w14:paraId="5C45A3C2" w14:textId="77777777" w:rsidR="00E2148E" w:rsidRPr="0084743E" w:rsidRDefault="00E2148E" w:rsidP="00A759EC">
            <w:pPr>
              <w:jc w:val="center"/>
              <w:rPr>
                <w:rFonts w:ascii="Arial" w:hAnsi="Arial" w:cs="Arial"/>
                <w:b/>
              </w:rPr>
            </w:pPr>
            <w:r w:rsidRPr="0084743E">
              <w:rPr>
                <w:rFonts w:ascii="Arial" w:hAnsi="Arial" w:cs="Arial"/>
                <w:b/>
              </w:rPr>
              <w:t>Standard One</w:t>
            </w:r>
          </w:p>
        </w:tc>
      </w:tr>
      <w:tr w:rsidR="00E2148E" w:rsidRPr="0084743E" w14:paraId="22928EA9" w14:textId="77777777" w:rsidTr="7480ADA0">
        <w:trPr>
          <w:gridAfter w:val="1"/>
          <w:wAfter w:w="448" w:type="dxa"/>
          <w:trHeight w:val="565"/>
        </w:trPr>
        <w:tc>
          <w:tcPr>
            <w:tcW w:w="4508" w:type="dxa"/>
          </w:tcPr>
          <w:p w14:paraId="2C3182A9" w14:textId="77777777" w:rsidR="00E2148E" w:rsidRPr="0084743E" w:rsidRDefault="00E2148E" w:rsidP="00A759EC">
            <w:pPr>
              <w:spacing w:line="276" w:lineRule="auto"/>
              <w:jc w:val="center"/>
              <w:rPr>
                <w:rFonts w:ascii="Arial" w:hAnsi="Arial" w:cs="Arial"/>
              </w:rPr>
            </w:pPr>
            <w:r w:rsidRPr="0084743E">
              <w:rPr>
                <w:rFonts w:ascii="Arial" w:hAnsi="Arial" w:cs="Arial"/>
              </w:rPr>
              <w:t>1</w:t>
            </w:r>
          </w:p>
          <w:p w14:paraId="026E4692" w14:textId="77777777" w:rsidR="00E2148E" w:rsidRPr="0084743E" w:rsidRDefault="00E2148E" w:rsidP="00A759EC">
            <w:pPr>
              <w:spacing w:line="276" w:lineRule="auto"/>
              <w:jc w:val="center"/>
              <w:rPr>
                <w:rFonts w:ascii="Arial" w:hAnsi="Arial" w:cs="Arial"/>
              </w:rPr>
            </w:pPr>
          </w:p>
        </w:tc>
        <w:tc>
          <w:tcPr>
            <w:tcW w:w="4508" w:type="dxa"/>
          </w:tcPr>
          <w:p w14:paraId="65B70E88" w14:textId="3C63F542" w:rsidR="0078134A" w:rsidRPr="0084743E" w:rsidRDefault="00DD6406" w:rsidP="0078134A">
            <w:pPr>
              <w:jc w:val="center"/>
              <w:rPr>
                <w:rFonts w:ascii="Arial" w:hAnsi="Arial" w:cs="Arial"/>
              </w:rPr>
            </w:pPr>
            <w:r w:rsidRPr="0084743E">
              <w:rPr>
                <w:rFonts w:ascii="Arial" w:hAnsi="Arial" w:cs="Arial"/>
              </w:rPr>
              <w:t>Met</w:t>
            </w:r>
          </w:p>
          <w:p w14:paraId="5B95F2DA" w14:textId="7AA21A86" w:rsidR="00143716" w:rsidRPr="0084743E" w:rsidRDefault="00143716" w:rsidP="00A759EC">
            <w:pPr>
              <w:jc w:val="center"/>
              <w:rPr>
                <w:rFonts w:ascii="Arial" w:hAnsi="Arial" w:cs="Arial"/>
              </w:rPr>
            </w:pPr>
          </w:p>
        </w:tc>
      </w:tr>
      <w:tr w:rsidR="00E2148E" w:rsidRPr="0084743E" w14:paraId="63DA87C0" w14:textId="77777777" w:rsidTr="7480ADA0">
        <w:trPr>
          <w:gridAfter w:val="1"/>
          <w:wAfter w:w="448" w:type="dxa"/>
        </w:trPr>
        <w:tc>
          <w:tcPr>
            <w:tcW w:w="4508" w:type="dxa"/>
          </w:tcPr>
          <w:p w14:paraId="6B779E5E" w14:textId="77777777" w:rsidR="00E2148E" w:rsidRPr="0084743E" w:rsidRDefault="00E2148E" w:rsidP="00A759EC">
            <w:pPr>
              <w:jc w:val="center"/>
              <w:rPr>
                <w:rFonts w:ascii="Arial" w:hAnsi="Arial" w:cs="Arial"/>
              </w:rPr>
            </w:pPr>
            <w:r w:rsidRPr="0084743E">
              <w:rPr>
                <w:rFonts w:ascii="Arial" w:hAnsi="Arial" w:cs="Arial"/>
              </w:rPr>
              <w:t>2</w:t>
            </w:r>
          </w:p>
          <w:p w14:paraId="67036618" w14:textId="77777777" w:rsidR="00E2148E" w:rsidRPr="0084743E" w:rsidRDefault="00E2148E" w:rsidP="00A759EC">
            <w:pPr>
              <w:jc w:val="center"/>
              <w:rPr>
                <w:rFonts w:ascii="Arial" w:hAnsi="Arial" w:cs="Arial"/>
              </w:rPr>
            </w:pPr>
          </w:p>
        </w:tc>
        <w:tc>
          <w:tcPr>
            <w:tcW w:w="4508" w:type="dxa"/>
          </w:tcPr>
          <w:p w14:paraId="26CF11CE" w14:textId="773EBE19" w:rsidR="0078134A" w:rsidRPr="0084743E" w:rsidRDefault="00143716" w:rsidP="0078134A">
            <w:pPr>
              <w:jc w:val="center"/>
              <w:rPr>
                <w:rFonts w:ascii="Arial" w:hAnsi="Arial" w:cs="Arial"/>
              </w:rPr>
            </w:pPr>
            <w:r w:rsidRPr="0084743E">
              <w:rPr>
                <w:rFonts w:ascii="Arial" w:hAnsi="Arial" w:cs="Arial"/>
              </w:rPr>
              <w:t>Met</w:t>
            </w:r>
          </w:p>
          <w:p w14:paraId="0870A0EE" w14:textId="0AE7FDB4" w:rsidR="00E2148E" w:rsidRPr="0084743E" w:rsidRDefault="00E2148E" w:rsidP="00143716">
            <w:pPr>
              <w:jc w:val="center"/>
              <w:rPr>
                <w:rFonts w:ascii="Arial" w:hAnsi="Arial" w:cs="Arial"/>
              </w:rPr>
            </w:pPr>
          </w:p>
        </w:tc>
      </w:tr>
      <w:tr w:rsidR="00E2148E" w:rsidRPr="0084743E" w14:paraId="28AEE4FA" w14:textId="77777777" w:rsidTr="7480ADA0">
        <w:trPr>
          <w:gridAfter w:val="1"/>
          <w:wAfter w:w="448" w:type="dxa"/>
        </w:trPr>
        <w:tc>
          <w:tcPr>
            <w:tcW w:w="4508" w:type="dxa"/>
          </w:tcPr>
          <w:p w14:paraId="5196C0EB" w14:textId="77777777" w:rsidR="00E2148E" w:rsidRPr="0084743E" w:rsidRDefault="00E2148E" w:rsidP="00A759EC">
            <w:pPr>
              <w:jc w:val="center"/>
              <w:rPr>
                <w:rFonts w:ascii="Arial" w:hAnsi="Arial" w:cs="Arial"/>
              </w:rPr>
            </w:pPr>
            <w:r w:rsidRPr="0084743E">
              <w:rPr>
                <w:rFonts w:ascii="Arial" w:hAnsi="Arial" w:cs="Arial"/>
              </w:rPr>
              <w:t>3</w:t>
            </w:r>
          </w:p>
          <w:p w14:paraId="1F73CDFE" w14:textId="77777777" w:rsidR="00E2148E" w:rsidRPr="0084743E" w:rsidRDefault="00E2148E" w:rsidP="00A759EC">
            <w:pPr>
              <w:jc w:val="center"/>
              <w:rPr>
                <w:rFonts w:ascii="Arial" w:hAnsi="Arial" w:cs="Arial"/>
              </w:rPr>
            </w:pPr>
          </w:p>
        </w:tc>
        <w:tc>
          <w:tcPr>
            <w:tcW w:w="4508" w:type="dxa"/>
          </w:tcPr>
          <w:p w14:paraId="7D51F3D7" w14:textId="1EF15E38" w:rsidR="0078134A" w:rsidRPr="0084743E" w:rsidRDefault="00143716" w:rsidP="0078134A">
            <w:pPr>
              <w:jc w:val="center"/>
              <w:rPr>
                <w:rFonts w:ascii="Arial" w:hAnsi="Arial" w:cs="Arial"/>
              </w:rPr>
            </w:pPr>
            <w:r w:rsidRPr="0084743E">
              <w:rPr>
                <w:rFonts w:ascii="Arial" w:hAnsi="Arial" w:cs="Arial"/>
              </w:rPr>
              <w:t>Met</w:t>
            </w:r>
          </w:p>
          <w:p w14:paraId="38B23BDA" w14:textId="7C666571" w:rsidR="00E2148E" w:rsidRPr="0084743E" w:rsidRDefault="00E2148E" w:rsidP="00143716">
            <w:pPr>
              <w:jc w:val="center"/>
              <w:rPr>
                <w:rFonts w:ascii="Arial" w:hAnsi="Arial" w:cs="Arial"/>
              </w:rPr>
            </w:pPr>
          </w:p>
        </w:tc>
      </w:tr>
      <w:tr w:rsidR="00E2148E" w:rsidRPr="0084743E" w14:paraId="64B00FE0" w14:textId="77777777" w:rsidTr="7480ADA0">
        <w:trPr>
          <w:gridAfter w:val="1"/>
          <w:wAfter w:w="448" w:type="dxa"/>
        </w:trPr>
        <w:tc>
          <w:tcPr>
            <w:tcW w:w="4508" w:type="dxa"/>
          </w:tcPr>
          <w:p w14:paraId="589308EF" w14:textId="77777777" w:rsidR="00E2148E" w:rsidRPr="0084743E" w:rsidRDefault="00E2148E" w:rsidP="00A759EC">
            <w:pPr>
              <w:jc w:val="center"/>
              <w:rPr>
                <w:rFonts w:ascii="Arial" w:hAnsi="Arial" w:cs="Arial"/>
              </w:rPr>
            </w:pPr>
            <w:r w:rsidRPr="0084743E">
              <w:rPr>
                <w:rFonts w:ascii="Arial" w:hAnsi="Arial" w:cs="Arial"/>
              </w:rPr>
              <w:t>4</w:t>
            </w:r>
          </w:p>
          <w:p w14:paraId="1BCAA8EB" w14:textId="77777777" w:rsidR="00E2148E" w:rsidRPr="0084743E" w:rsidRDefault="00E2148E" w:rsidP="00A759EC">
            <w:pPr>
              <w:jc w:val="center"/>
              <w:rPr>
                <w:rFonts w:ascii="Arial" w:hAnsi="Arial" w:cs="Arial"/>
              </w:rPr>
            </w:pPr>
          </w:p>
        </w:tc>
        <w:tc>
          <w:tcPr>
            <w:tcW w:w="4508" w:type="dxa"/>
          </w:tcPr>
          <w:p w14:paraId="628C5758" w14:textId="2B558BAC" w:rsidR="0078134A" w:rsidRPr="0084743E" w:rsidRDefault="00143716" w:rsidP="0078134A">
            <w:pPr>
              <w:jc w:val="center"/>
              <w:rPr>
                <w:rFonts w:ascii="Arial" w:hAnsi="Arial" w:cs="Arial"/>
              </w:rPr>
            </w:pPr>
            <w:r w:rsidRPr="0084743E">
              <w:rPr>
                <w:rFonts w:ascii="Arial" w:hAnsi="Arial" w:cs="Arial"/>
              </w:rPr>
              <w:t>Met</w:t>
            </w:r>
          </w:p>
          <w:p w14:paraId="48BF0F05" w14:textId="13942C4E" w:rsidR="00E2148E" w:rsidRPr="0084743E" w:rsidRDefault="00E2148E" w:rsidP="00143716">
            <w:pPr>
              <w:jc w:val="center"/>
              <w:rPr>
                <w:rFonts w:ascii="Arial" w:hAnsi="Arial" w:cs="Arial"/>
              </w:rPr>
            </w:pPr>
          </w:p>
        </w:tc>
      </w:tr>
      <w:tr w:rsidR="00E2148E" w:rsidRPr="0084743E" w14:paraId="6F2A68B8" w14:textId="77777777" w:rsidTr="7480ADA0">
        <w:trPr>
          <w:gridAfter w:val="1"/>
          <w:wAfter w:w="448" w:type="dxa"/>
        </w:trPr>
        <w:tc>
          <w:tcPr>
            <w:tcW w:w="4508" w:type="dxa"/>
          </w:tcPr>
          <w:p w14:paraId="515DF524" w14:textId="77777777" w:rsidR="00E2148E" w:rsidRPr="0084743E" w:rsidRDefault="00E2148E" w:rsidP="00A759EC">
            <w:pPr>
              <w:jc w:val="center"/>
              <w:rPr>
                <w:rFonts w:ascii="Arial" w:hAnsi="Arial" w:cs="Arial"/>
              </w:rPr>
            </w:pPr>
            <w:r w:rsidRPr="0084743E">
              <w:rPr>
                <w:rFonts w:ascii="Arial" w:hAnsi="Arial" w:cs="Arial"/>
              </w:rPr>
              <w:t>5</w:t>
            </w:r>
          </w:p>
          <w:p w14:paraId="1C924E15" w14:textId="77777777" w:rsidR="00E2148E" w:rsidRPr="0084743E" w:rsidRDefault="00E2148E" w:rsidP="00A759EC">
            <w:pPr>
              <w:jc w:val="center"/>
              <w:rPr>
                <w:rFonts w:ascii="Arial" w:hAnsi="Arial" w:cs="Arial"/>
              </w:rPr>
            </w:pPr>
          </w:p>
        </w:tc>
        <w:tc>
          <w:tcPr>
            <w:tcW w:w="4508" w:type="dxa"/>
          </w:tcPr>
          <w:p w14:paraId="36B00761" w14:textId="11C9A03F" w:rsidR="0078134A" w:rsidRPr="0084743E" w:rsidRDefault="00143716" w:rsidP="0078134A">
            <w:pPr>
              <w:jc w:val="center"/>
              <w:rPr>
                <w:rFonts w:ascii="Arial" w:hAnsi="Arial" w:cs="Arial"/>
              </w:rPr>
            </w:pPr>
            <w:r w:rsidRPr="0084743E">
              <w:rPr>
                <w:rFonts w:ascii="Arial" w:hAnsi="Arial" w:cs="Arial"/>
              </w:rPr>
              <w:t>Met</w:t>
            </w:r>
          </w:p>
          <w:p w14:paraId="33CA339A" w14:textId="2458F6B1" w:rsidR="00E2148E" w:rsidRPr="0084743E" w:rsidRDefault="00E2148E" w:rsidP="00143716">
            <w:pPr>
              <w:jc w:val="center"/>
              <w:rPr>
                <w:rFonts w:ascii="Arial" w:hAnsi="Arial" w:cs="Arial"/>
              </w:rPr>
            </w:pPr>
          </w:p>
        </w:tc>
      </w:tr>
      <w:tr w:rsidR="00E2148E" w:rsidRPr="0084743E" w14:paraId="0FB97D48" w14:textId="77777777" w:rsidTr="7480ADA0">
        <w:trPr>
          <w:gridAfter w:val="1"/>
          <w:wAfter w:w="448" w:type="dxa"/>
        </w:trPr>
        <w:tc>
          <w:tcPr>
            <w:tcW w:w="4508" w:type="dxa"/>
          </w:tcPr>
          <w:p w14:paraId="49004983" w14:textId="77777777" w:rsidR="00E2148E" w:rsidRPr="0084743E" w:rsidRDefault="00E2148E" w:rsidP="00A759EC">
            <w:pPr>
              <w:jc w:val="center"/>
              <w:rPr>
                <w:rFonts w:ascii="Arial" w:hAnsi="Arial" w:cs="Arial"/>
              </w:rPr>
            </w:pPr>
            <w:r w:rsidRPr="0084743E">
              <w:rPr>
                <w:rFonts w:ascii="Arial" w:hAnsi="Arial" w:cs="Arial"/>
              </w:rPr>
              <w:t>6</w:t>
            </w:r>
          </w:p>
          <w:p w14:paraId="2B110B5F" w14:textId="77777777" w:rsidR="00E2148E" w:rsidRPr="0084743E" w:rsidRDefault="00E2148E" w:rsidP="00A759EC">
            <w:pPr>
              <w:jc w:val="center"/>
              <w:rPr>
                <w:rFonts w:ascii="Arial" w:hAnsi="Arial" w:cs="Arial"/>
              </w:rPr>
            </w:pPr>
          </w:p>
        </w:tc>
        <w:tc>
          <w:tcPr>
            <w:tcW w:w="4508" w:type="dxa"/>
          </w:tcPr>
          <w:p w14:paraId="2396A11F" w14:textId="09445F88" w:rsidR="0078134A" w:rsidRPr="0084743E" w:rsidRDefault="00143716" w:rsidP="0078134A">
            <w:pPr>
              <w:jc w:val="center"/>
              <w:rPr>
                <w:rFonts w:ascii="Arial" w:hAnsi="Arial" w:cs="Arial"/>
              </w:rPr>
            </w:pPr>
            <w:r w:rsidRPr="0084743E">
              <w:rPr>
                <w:rFonts w:ascii="Arial" w:hAnsi="Arial" w:cs="Arial"/>
              </w:rPr>
              <w:t>Met</w:t>
            </w:r>
          </w:p>
          <w:p w14:paraId="47EDFAC0" w14:textId="67AC3DCD" w:rsidR="00E2148E" w:rsidRPr="0084743E" w:rsidRDefault="00E2148E" w:rsidP="00143716">
            <w:pPr>
              <w:jc w:val="center"/>
              <w:rPr>
                <w:rFonts w:ascii="Arial" w:hAnsi="Arial" w:cs="Arial"/>
              </w:rPr>
            </w:pPr>
          </w:p>
        </w:tc>
      </w:tr>
      <w:tr w:rsidR="00E2148E" w:rsidRPr="0084743E" w14:paraId="43D1098A" w14:textId="77777777" w:rsidTr="7480ADA0">
        <w:trPr>
          <w:gridAfter w:val="1"/>
          <w:wAfter w:w="448" w:type="dxa"/>
        </w:trPr>
        <w:tc>
          <w:tcPr>
            <w:tcW w:w="4508" w:type="dxa"/>
          </w:tcPr>
          <w:p w14:paraId="5A07EB5A" w14:textId="77777777" w:rsidR="00E2148E" w:rsidRPr="0084743E" w:rsidRDefault="00E2148E" w:rsidP="00A759EC">
            <w:pPr>
              <w:jc w:val="center"/>
              <w:rPr>
                <w:rFonts w:ascii="Arial" w:hAnsi="Arial" w:cs="Arial"/>
              </w:rPr>
            </w:pPr>
            <w:r w:rsidRPr="0084743E">
              <w:rPr>
                <w:rFonts w:ascii="Arial" w:hAnsi="Arial" w:cs="Arial"/>
              </w:rPr>
              <w:t>7</w:t>
            </w:r>
          </w:p>
          <w:p w14:paraId="7CDCBE5F" w14:textId="77777777" w:rsidR="00E2148E" w:rsidRPr="0084743E" w:rsidRDefault="00E2148E" w:rsidP="00A759EC">
            <w:pPr>
              <w:jc w:val="center"/>
              <w:rPr>
                <w:rFonts w:ascii="Arial" w:hAnsi="Arial" w:cs="Arial"/>
              </w:rPr>
            </w:pPr>
          </w:p>
        </w:tc>
        <w:tc>
          <w:tcPr>
            <w:tcW w:w="4508" w:type="dxa"/>
          </w:tcPr>
          <w:p w14:paraId="498A9B1D" w14:textId="36BFA9A9" w:rsidR="0078134A" w:rsidRPr="0084743E" w:rsidRDefault="00143716" w:rsidP="0078134A">
            <w:pPr>
              <w:jc w:val="center"/>
              <w:rPr>
                <w:rFonts w:ascii="Arial" w:hAnsi="Arial" w:cs="Arial"/>
              </w:rPr>
            </w:pPr>
            <w:r w:rsidRPr="0084743E">
              <w:rPr>
                <w:rFonts w:ascii="Arial" w:hAnsi="Arial" w:cs="Arial"/>
              </w:rPr>
              <w:t>Met</w:t>
            </w:r>
          </w:p>
          <w:p w14:paraId="3B804B2E" w14:textId="110AD412" w:rsidR="00E2148E" w:rsidRPr="0084743E" w:rsidRDefault="00E2148E" w:rsidP="00143716">
            <w:pPr>
              <w:jc w:val="center"/>
              <w:rPr>
                <w:rFonts w:ascii="Arial" w:hAnsi="Arial" w:cs="Arial"/>
              </w:rPr>
            </w:pPr>
          </w:p>
        </w:tc>
      </w:tr>
      <w:tr w:rsidR="00E2148E" w:rsidRPr="0084743E" w14:paraId="689DA4D9" w14:textId="77777777" w:rsidTr="7480ADA0">
        <w:trPr>
          <w:gridAfter w:val="1"/>
          <w:wAfter w:w="448" w:type="dxa"/>
        </w:trPr>
        <w:tc>
          <w:tcPr>
            <w:tcW w:w="4508" w:type="dxa"/>
          </w:tcPr>
          <w:p w14:paraId="4567C734" w14:textId="77777777" w:rsidR="00E2148E" w:rsidRPr="0084743E" w:rsidRDefault="00E2148E" w:rsidP="00A759EC">
            <w:pPr>
              <w:jc w:val="center"/>
              <w:rPr>
                <w:rFonts w:ascii="Arial" w:hAnsi="Arial" w:cs="Arial"/>
              </w:rPr>
            </w:pPr>
            <w:r w:rsidRPr="0084743E">
              <w:rPr>
                <w:rFonts w:ascii="Arial" w:hAnsi="Arial" w:cs="Arial"/>
              </w:rPr>
              <w:t>8</w:t>
            </w:r>
          </w:p>
          <w:p w14:paraId="3951E816" w14:textId="77777777" w:rsidR="00E2148E" w:rsidRPr="0084743E" w:rsidRDefault="00E2148E" w:rsidP="00A759EC">
            <w:pPr>
              <w:jc w:val="center"/>
              <w:rPr>
                <w:rFonts w:ascii="Arial" w:hAnsi="Arial" w:cs="Arial"/>
              </w:rPr>
            </w:pPr>
          </w:p>
        </w:tc>
        <w:tc>
          <w:tcPr>
            <w:tcW w:w="4508" w:type="dxa"/>
          </w:tcPr>
          <w:p w14:paraId="37EBD050" w14:textId="626EB10A" w:rsidR="0078134A" w:rsidRPr="0084743E" w:rsidRDefault="00143716" w:rsidP="0078134A">
            <w:pPr>
              <w:jc w:val="center"/>
              <w:rPr>
                <w:rFonts w:ascii="Arial" w:hAnsi="Arial" w:cs="Arial"/>
              </w:rPr>
            </w:pPr>
            <w:r w:rsidRPr="0084743E">
              <w:rPr>
                <w:rFonts w:ascii="Arial" w:hAnsi="Arial" w:cs="Arial"/>
              </w:rPr>
              <w:t>Met</w:t>
            </w:r>
          </w:p>
          <w:p w14:paraId="164177CD" w14:textId="19CA37F4" w:rsidR="00E2148E" w:rsidRPr="0084743E" w:rsidRDefault="00E2148E" w:rsidP="00143716">
            <w:pPr>
              <w:jc w:val="center"/>
              <w:rPr>
                <w:rFonts w:ascii="Arial" w:hAnsi="Arial" w:cs="Arial"/>
              </w:rPr>
            </w:pPr>
          </w:p>
        </w:tc>
      </w:tr>
      <w:tr w:rsidR="00E2148E" w:rsidRPr="0084743E" w14:paraId="1C7773BB" w14:textId="77777777" w:rsidTr="7480ADA0">
        <w:trPr>
          <w:gridAfter w:val="1"/>
          <w:wAfter w:w="448" w:type="dxa"/>
        </w:trPr>
        <w:tc>
          <w:tcPr>
            <w:tcW w:w="9016" w:type="dxa"/>
            <w:gridSpan w:val="2"/>
            <w:shd w:val="clear" w:color="auto" w:fill="D9D9D9" w:themeFill="background1" w:themeFillShade="D9"/>
          </w:tcPr>
          <w:p w14:paraId="02CA0D93" w14:textId="77777777" w:rsidR="00E2148E" w:rsidRPr="0084743E" w:rsidRDefault="00E2148E" w:rsidP="00A759EC">
            <w:pPr>
              <w:jc w:val="center"/>
              <w:rPr>
                <w:rFonts w:ascii="Arial" w:hAnsi="Arial" w:cs="Arial"/>
                <w:b/>
              </w:rPr>
            </w:pPr>
            <w:r w:rsidRPr="0084743E">
              <w:rPr>
                <w:rFonts w:ascii="Arial" w:hAnsi="Arial" w:cs="Arial"/>
                <w:b/>
              </w:rPr>
              <w:t>Standard Two</w:t>
            </w:r>
          </w:p>
        </w:tc>
      </w:tr>
      <w:tr w:rsidR="00E2148E" w:rsidRPr="0084743E" w14:paraId="2348BE16" w14:textId="77777777" w:rsidTr="7480ADA0">
        <w:trPr>
          <w:gridAfter w:val="1"/>
          <w:wAfter w:w="448" w:type="dxa"/>
        </w:trPr>
        <w:tc>
          <w:tcPr>
            <w:tcW w:w="4508" w:type="dxa"/>
          </w:tcPr>
          <w:p w14:paraId="2D9F90AC" w14:textId="77777777" w:rsidR="00E2148E" w:rsidRPr="0084743E" w:rsidRDefault="00E2148E" w:rsidP="00A759EC">
            <w:pPr>
              <w:jc w:val="center"/>
              <w:rPr>
                <w:rFonts w:ascii="Arial" w:hAnsi="Arial" w:cs="Arial"/>
              </w:rPr>
            </w:pPr>
            <w:r w:rsidRPr="0084743E">
              <w:rPr>
                <w:rFonts w:ascii="Arial" w:hAnsi="Arial" w:cs="Arial"/>
              </w:rPr>
              <w:t>9</w:t>
            </w:r>
          </w:p>
          <w:p w14:paraId="5D7DE8C1" w14:textId="77777777" w:rsidR="00E2148E" w:rsidRPr="0084743E" w:rsidRDefault="00E2148E" w:rsidP="00A759EC">
            <w:pPr>
              <w:jc w:val="center"/>
              <w:rPr>
                <w:rFonts w:ascii="Arial" w:hAnsi="Arial" w:cs="Arial"/>
              </w:rPr>
            </w:pPr>
          </w:p>
        </w:tc>
        <w:tc>
          <w:tcPr>
            <w:tcW w:w="4508" w:type="dxa"/>
          </w:tcPr>
          <w:p w14:paraId="42AEF6F7" w14:textId="2D543A3E" w:rsidR="0078134A" w:rsidRPr="0084743E" w:rsidRDefault="00143716" w:rsidP="0078134A">
            <w:pPr>
              <w:jc w:val="center"/>
              <w:rPr>
                <w:rFonts w:ascii="Arial" w:hAnsi="Arial" w:cs="Arial"/>
              </w:rPr>
            </w:pPr>
            <w:r w:rsidRPr="0084743E">
              <w:rPr>
                <w:rFonts w:ascii="Arial" w:hAnsi="Arial" w:cs="Arial"/>
              </w:rPr>
              <w:t>Met</w:t>
            </w:r>
          </w:p>
          <w:p w14:paraId="42571EE3" w14:textId="0CC58401" w:rsidR="00E2148E" w:rsidRPr="0084743E" w:rsidRDefault="00E2148E" w:rsidP="00143716">
            <w:pPr>
              <w:jc w:val="center"/>
              <w:rPr>
                <w:rFonts w:ascii="Arial" w:hAnsi="Arial" w:cs="Arial"/>
              </w:rPr>
            </w:pPr>
          </w:p>
        </w:tc>
      </w:tr>
      <w:tr w:rsidR="00E2148E" w:rsidRPr="0084743E" w14:paraId="105220D4" w14:textId="77777777" w:rsidTr="7480ADA0">
        <w:trPr>
          <w:gridAfter w:val="1"/>
          <w:wAfter w:w="448" w:type="dxa"/>
        </w:trPr>
        <w:tc>
          <w:tcPr>
            <w:tcW w:w="4508" w:type="dxa"/>
          </w:tcPr>
          <w:p w14:paraId="38B120BE" w14:textId="77777777" w:rsidR="00E2148E" w:rsidRPr="0084743E" w:rsidRDefault="00E2148E" w:rsidP="00A759EC">
            <w:pPr>
              <w:jc w:val="center"/>
              <w:rPr>
                <w:rFonts w:ascii="Arial" w:hAnsi="Arial" w:cs="Arial"/>
              </w:rPr>
            </w:pPr>
            <w:r w:rsidRPr="0084743E">
              <w:rPr>
                <w:rFonts w:ascii="Arial" w:hAnsi="Arial" w:cs="Arial"/>
              </w:rPr>
              <w:t>10</w:t>
            </w:r>
          </w:p>
          <w:p w14:paraId="7E41EF30" w14:textId="77777777" w:rsidR="00E2148E" w:rsidRPr="0084743E" w:rsidRDefault="00E2148E" w:rsidP="00A759EC">
            <w:pPr>
              <w:jc w:val="center"/>
              <w:rPr>
                <w:rFonts w:ascii="Arial" w:hAnsi="Arial" w:cs="Arial"/>
              </w:rPr>
            </w:pPr>
          </w:p>
        </w:tc>
        <w:tc>
          <w:tcPr>
            <w:tcW w:w="4508" w:type="dxa"/>
          </w:tcPr>
          <w:p w14:paraId="75DCCCC2" w14:textId="08A398E6" w:rsidR="00FE1783" w:rsidRPr="0084743E" w:rsidRDefault="00143716" w:rsidP="00FE1783">
            <w:pPr>
              <w:jc w:val="center"/>
              <w:rPr>
                <w:rFonts w:ascii="Arial" w:hAnsi="Arial" w:cs="Arial"/>
              </w:rPr>
            </w:pPr>
            <w:r w:rsidRPr="0084743E">
              <w:rPr>
                <w:rFonts w:ascii="Arial" w:hAnsi="Arial" w:cs="Arial"/>
              </w:rPr>
              <w:t>Met</w:t>
            </w:r>
          </w:p>
          <w:p w14:paraId="4282004B" w14:textId="10B3660F" w:rsidR="00E2148E" w:rsidRPr="0084743E" w:rsidRDefault="00E2148E" w:rsidP="00143716">
            <w:pPr>
              <w:jc w:val="center"/>
              <w:rPr>
                <w:rFonts w:ascii="Arial" w:hAnsi="Arial" w:cs="Arial"/>
              </w:rPr>
            </w:pPr>
          </w:p>
        </w:tc>
      </w:tr>
      <w:tr w:rsidR="00E2148E" w:rsidRPr="0084743E" w14:paraId="56105FA1" w14:textId="77777777" w:rsidTr="7480ADA0">
        <w:trPr>
          <w:gridAfter w:val="1"/>
          <w:wAfter w:w="448" w:type="dxa"/>
        </w:trPr>
        <w:tc>
          <w:tcPr>
            <w:tcW w:w="4508" w:type="dxa"/>
          </w:tcPr>
          <w:p w14:paraId="39C227DA" w14:textId="77777777" w:rsidR="00E2148E" w:rsidRPr="0084743E" w:rsidRDefault="00E2148E" w:rsidP="00A759EC">
            <w:pPr>
              <w:jc w:val="center"/>
              <w:rPr>
                <w:rFonts w:ascii="Arial" w:hAnsi="Arial" w:cs="Arial"/>
              </w:rPr>
            </w:pPr>
            <w:r w:rsidRPr="0084743E">
              <w:rPr>
                <w:rFonts w:ascii="Arial" w:hAnsi="Arial" w:cs="Arial"/>
              </w:rPr>
              <w:t>11</w:t>
            </w:r>
          </w:p>
          <w:p w14:paraId="687FB0EE" w14:textId="77777777" w:rsidR="00E2148E" w:rsidRPr="0084743E" w:rsidRDefault="00E2148E" w:rsidP="00A759EC">
            <w:pPr>
              <w:jc w:val="center"/>
              <w:rPr>
                <w:rFonts w:ascii="Arial" w:hAnsi="Arial" w:cs="Arial"/>
              </w:rPr>
            </w:pPr>
          </w:p>
        </w:tc>
        <w:tc>
          <w:tcPr>
            <w:tcW w:w="4508" w:type="dxa"/>
          </w:tcPr>
          <w:p w14:paraId="76B2365F" w14:textId="7E798D46" w:rsidR="00FE1783" w:rsidRPr="0084743E" w:rsidRDefault="00143716" w:rsidP="00FE1783">
            <w:pPr>
              <w:jc w:val="center"/>
              <w:rPr>
                <w:rFonts w:ascii="Arial" w:hAnsi="Arial" w:cs="Arial"/>
              </w:rPr>
            </w:pPr>
            <w:r w:rsidRPr="0084743E">
              <w:rPr>
                <w:rFonts w:ascii="Arial" w:hAnsi="Arial" w:cs="Arial"/>
              </w:rPr>
              <w:t>Part</w:t>
            </w:r>
            <w:r w:rsidR="00AC1360" w:rsidRPr="0084743E">
              <w:rPr>
                <w:rFonts w:ascii="Arial" w:hAnsi="Arial" w:cs="Arial"/>
              </w:rPr>
              <w:t>ly</w:t>
            </w:r>
            <w:r w:rsidRPr="0084743E">
              <w:rPr>
                <w:rFonts w:ascii="Arial" w:hAnsi="Arial" w:cs="Arial"/>
              </w:rPr>
              <w:t xml:space="preserve"> Met</w:t>
            </w:r>
          </w:p>
          <w:p w14:paraId="05B39965" w14:textId="256FD476" w:rsidR="00E2148E" w:rsidRPr="0084743E" w:rsidRDefault="00E2148E" w:rsidP="00143716">
            <w:pPr>
              <w:jc w:val="center"/>
              <w:rPr>
                <w:rFonts w:ascii="Arial" w:hAnsi="Arial" w:cs="Arial"/>
              </w:rPr>
            </w:pPr>
          </w:p>
        </w:tc>
      </w:tr>
      <w:tr w:rsidR="00E2148E" w:rsidRPr="0084743E" w14:paraId="04F88B22" w14:textId="77777777" w:rsidTr="7480ADA0">
        <w:trPr>
          <w:gridAfter w:val="1"/>
          <w:wAfter w:w="448" w:type="dxa"/>
        </w:trPr>
        <w:tc>
          <w:tcPr>
            <w:tcW w:w="4508" w:type="dxa"/>
          </w:tcPr>
          <w:p w14:paraId="4D317635" w14:textId="77777777" w:rsidR="00E2148E" w:rsidRPr="0084743E" w:rsidRDefault="00E2148E" w:rsidP="00A759EC">
            <w:pPr>
              <w:jc w:val="center"/>
              <w:rPr>
                <w:rFonts w:ascii="Arial" w:hAnsi="Arial" w:cs="Arial"/>
              </w:rPr>
            </w:pPr>
            <w:r w:rsidRPr="0084743E">
              <w:rPr>
                <w:rFonts w:ascii="Arial" w:hAnsi="Arial" w:cs="Arial"/>
              </w:rPr>
              <w:t>12</w:t>
            </w:r>
          </w:p>
          <w:p w14:paraId="7D90BD78" w14:textId="77777777" w:rsidR="00E2148E" w:rsidRPr="0084743E" w:rsidRDefault="00E2148E" w:rsidP="00A759EC">
            <w:pPr>
              <w:jc w:val="center"/>
              <w:rPr>
                <w:rFonts w:ascii="Arial" w:hAnsi="Arial" w:cs="Arial"/>
              </w:rPr>
            </w:pPr>
          </w:p>
        </w:tc>
        <w:tc>
          <w:tcPr>
            <w:tcW w:w="4508" w:type="dxa"/>
          </w:tcPr>
          <w:p w14:paraId="34C1AC37" w14:textId="71923B4B" w:rsidR="00E2148E" w:rsidRPr="0084743E" w:rsidRDefault="00143716" w:rsidP="00FE1783">
            <w:pPr>
              <w:jc w:val="center"/>
              <w:rPr>
                <w:rFonts w:ascii="Arial" w:hAnsi="Arial" w:cs="Arial"/>
              </w:rPr>
            </w:pPr>
            <w:r w:rsidRPr="0084743E">
              <w:rPr>
                <w:rFonts w:ascii="Arial" w:hAnsi="Arial" w:cs="Arial"/>
              </w:rPr>
              <w:t>Part</w:t>
            </w:r>
            <w:r w:rsidR="00C71F8E" w:rsidRPr="0084743E">
              <w:rPr>
                <w:rFonts w:ascii="Arial" w:hAnsi="Arial" w:cs="Arial"/>
              </w:rPr>
              <w:t>ly</w:t>
            </w:r>
            <w:r w:rsidRPr="0084743E">
              <w:rPr>
                <w:rFonts w:ascii="Arial" w:hAnsi="Arial" w:cs="Arial"/>
              </w:rPr>
              <w:t xml:space="preserve"> Met</w:t>
            </w:r>
          </w:p>
        </w:tc>
      </w:tr>
      <w:tr w:rsidR="00E2148E" w:rsidRPr="0084743E" w14:paraId="2DE8AB71" w14:textId="77777777" w:rsidTr="7480ADA0">
        <w:trPr>
          <w:gridAfter w:val="1"/>
          <w:wAfter w:w="448" w:type="dxa"/>
        </w:trPr>
        <w:tc>
          <w:tcPr>
            <w:tcW w:w="9016" w:type="dxa"/>
            <w:gridSpan w:val="2"/>
            <w:shd w:val="clear" w:color="auto" w:fill="D9D9D9" w:themeFill="background1" w:themeFillShade="D9"/>
          </w:tcPr>
          <w:p w14:paraId="4DFE3FF6" w14:textId="77777777" w:rsidR="00E2148E" w:rsidRPr="0084743E" w:rsidRDefault="00E2148E" w:rsidP="00A759EC">
            <w:pPr>
              <w:jc w:val="center"/>
              <w:rPr>
                <w:rFonts w:ascii="Arial" w:hAnsi="Arial" w:cs="Arial"/>
                <w:b/>
              </w:rPr>
            </w:pPr>
            <w:r w:rsidRPr="0084743E">
              <w:rPr>
                <w:rFonts w:ascii="Arial" w:hAnsi="Arial" w:cs="Arial"/>
                <w:b/>
              </w:rPr>
              <w:t>Standard Three</w:t>
            </w:r>
          </w:p>
        </w:tc>
      </w:tr>
      <w:tr w:rsidR="00E2148E" w:rsidRPr="0084743E" w14:paraId="7EE705D5" w14:textId="77777777" w:rsidTr="7480ADA0">
        <w:trPr>
          <w:gridAfter w:val="1"/>
          <w:wAfter w:w="448" w:type="dxa"/>
        </w:trPr>
        <w:tc>
          <w:tcPr>
            <w:tcW w:w="4508" w:type="dxa"/>
          </w:tcPr>
          <w:p w14:paraId="5205D72E" w14:textId="77777777" w:rsidR="00E2148E" w:rsidRPr="0084743E" w:rsidRDefault="00E2148E" w:rsidP="00A759EC">
            <w:pPr>
              <w:jc w:val="center"/>
              <w:rPr>
                <w:rFonts w:ascii="Arial" w:hAnsi="Arial" w:cs="Arial"/>
              </w:rPr>
            </w:pPr>
            <w:r w:rsidRPr="0084743E">
              <w:rPr>
                <w:rFonts w:ascii="Arial" w:hAnsi="Arial" w:cs="Arial"/>
              </w:rPr>
              <w:t>13</w:t>
            </w:r>
          </w:p>
          <w:p w14:paraId="451CE457" w14:textId="77777777" w:rsidR="00E2148E" w:rsidRPr="0084743E" w:rsidRDefault="00E2148E" w:rsidP="00A759EC">
            <w:pPr>
              <w:jc w:val="center"/>
              <w:rPr>
                <w:rFonts w:ascii="Arial" w:hAnsi="Arial" w:cs="Arial"/>
              </w:rPr>
            </w:pPr>
          </w:p>
        </w:tc>
        <w:tc>
          <w:tcPr>
            <w:tcW w:w="4508" w:type="dxa"/>
          </w:tcPr>
          <w:p w14:paraId="1C193714" w14:textId="4D403E8E" w:rsidR="001C2599" w:rsidRPr="0084743E" w:rsidRDefault="00143716" w:rsidP="001C2599">
            <w:pPr>
              <w:jc w:val="center"/>
              <w:rPr>
                <w:rFonts w:ascii="Arial" w:hAnsi="Arial" w:cs="Arial"/>
              </w:rPr>
            </w:pPr>
            <w:r w:rsidRPr="0084743E">
              <w:rPr>
                <w:rFonts w:ascii="Arial" w:hAnsi="Arial" w:cs="Arial"/>
              </w:rPr>
              <w:t>Met</w:t>
            </w:r>
          </w:p>
          <w:p w14:paraId="0070B547" w14:textId="6E84BC3A" w:rsidR="00E2148E" w:rsidRPr="0084743E" w:rsidRDefault="00E2148E" w:rsidP="00143716">
            <w:pPr>
              <w:jc w:val="center"/>
              <w:rPr>
                <w:rFonts w:ascii="Arial" w:hAnsi="Arial" w:cs="Arial"/>
              </w:rPr>
            </w:pPr>
          </w:p>
        </w:tc>
      </w:tr>
      <w:tr w:rsidR="00E2148E" w:rsidRPr="0084743E" w14:paraId="50B2804A" w14:textId="77777777" w:rsidTr="7480ADA0">
        <w:trPr>
          <w:gridAfter w:val="1"/>
          <w:wAfter w:w="448" w:type="dxa"/>
        </w:trPr>
        <w:tc>
          <w:tcPr>
            <w:tcW w:w="4508" w:type="dxa"/>
          </w:tcPr>
          <w:p w14:paraId="7FD7C08D" w14:textId="77777777" w:rsidR="00E2148E" w:rsidRPr="0084743E" w:rsidRDefault="00E2148E" w:rsidP="00A759EC">
            <w:pPr>
              <w:jc w:val="center"/>
              <w:rPr>
                <w:rFonts w:ascii="Arial" w:hAnsi="Arial" w:cs="Arial"/>
              </w:rPr>
            </w:pPr>
            <w:r w:rsidRPr="0084743E">
              <w:rPr>
                <w:rFonts w:ascii="Arial" w:hAnsi="Arial" w:cs="Arial"/>
              </w:rPr>
              <w:t>14</w:t>
            </w:r>
          </w:p>
          <w:p w14:paraId="1302D67D" w14:textId="77777777" w:rsidR="00E2148E" w:rsidRPr="0084743E" w:rsidRDefault="00E2148E" w:rsidP="00A759EC">
            <w:pPr>
              <w:jc w:val="center"/>
              <w:rPr>
                <w:rFonts w:ascii="Arial" w:hAnsi="Arial" w:cs="Arial"/>
              </w:rPr>
            </w:pPr>
          </w:p>
        </w:tc>
        <w:tc>
          <w:tcPr>
            <w:tcW w:w="4508" w:type="dxa"/>
          </w:tcPr>
          <w:p w14:paraId="7C7EEEDF" w14:textId="7F39E2A6" w:rsidR="001C2599" w:rsidRPr="0084743E" w:rsidRDefault="00143716" w:rsidP="001C2599">
            <w:pPr>
              <w:jc w:val="center"/>
              <w:rPr>
                <w:rFonts w:ascii="Arial" w:hAnsi="Arial" w:cs="Arial"/>
              </w:rPr>
            </w:pPr>
            <w:r w:rsidRPr="0084743E">
              <w:rPr>
                <w:rFonts w:ascii="Arial" w:hAnsi="Arial" w:cs="Arial"/>
              </w:rPr>
              <w:t>Met</w:t>
            </w:r>
          </w:p>
          <w:p w14:paraId="6EEB3739" w14:textId="632EFF0E" w:rsidR="00E2148E" w:rsidRPr="0084743E" w:rsidRDefault="00E2148E" w:rsidP="00143716">
            <w:pPr>
              <w:jc w:val="center"/>
              <w:rPr>
                <w:rFonts w:ascii="Arial" w:hAnsi="Arial" w:cs="Arial"/>
              </w:rPr>
            </w:pPr>
          </w:p>
        </w:tc>
      </w:tr>
      <w:tr w:rsidR="00E2148E" w:rsidRPr="0084743E" w14:paraId="6E7B07FC" w14:textId="77777777" w:rsidTr="7480ADA0">
        <w:trPr>
          <w:gridAfter w:val="1"/>
          <w:wAfter w:w="448" w:type="dxa"/>
        </w:trPr>
        <w:tc>
          <w:tcPr>
            <w:tcW w:w="4508" w:type="dxa"/>
          </w:tcPr>
          <w:p w14:paraId="6AF07703" w14:textId="77777777" w:rsidR="00E2148E" w:rsidRPr="0084743E" w:rsidRDefault="00E2148E" w:rsidP="00A759EC">
            <w:pPr>
              <w:jc w:val="center"/>
              <w:rPr>
                <w:rFonts w:ascii="Arial" w:hAnsi="Arial" w:cs="Arial"/>
              </w:rPr>
            </w:pPr>
            <w:r w:rsidRPr="0084743E">
              <w:rPr>
                <w:rFonts w:ascii="Arial" w:hAnsi="Arial" w:cs="Arial"/>
              </w:rPr>
              <w:t>15</w:t>
            </w:r>
          </w:p>
          <w:p w14:paraId="2612B004" w14:textId="77777777" w:rsidR="00E2148E" w:rsidRPr="0084743E" w:rsidRDefault="00E2148E" w:rsidP="00A759EC">
            <w:pPr>
              <w:jc w:val="center"/>
              <w:rPr>
                <w:rFonts w:ascii="Arial" w:hAnsi="Arial" w:cs="Arial"/>
              </w:rPr>
            </w:pPr>
          </w:p>
        </w:tc>
        <w:tc>
          <w:tcPr>
            <w:tcW w:w="4508" w:type="dxa"/>
          </w:tcPr>
          <w:p w14:paraId="646F811B" w14:textId="7304D4DB" w:rsidR="001C2599" w:rsidRPr="0084743E" w:rsidRDefault="00143716" w:rsidP="001C2599">
            <w:pPr>
              <w:jc w:val="center"/>
              <w:rPr>
                <w:rFonts w:ascii="Arial" w:hAnsi="Arial" w:cs="Arial"/>
              </w:rPr>
            </w:pPr>
            <w:r w:rsidRPr="0084743E">
              <w:rPr>
                <w:rFonts w:ascii="Arial" w:hAnsi="Arial" w:cs="Arial"/>
              </w:rPr>
              <w:t>Met</w:t>
            </w:r>
          </w:p>
          <w:p w14:paraId="35F76218" w14:textId="017120B7" w:rsidR="00E2148E" w:rsidRPr="0084743E" w:rsidRDefault="00E2148E" w:rsidP="00143716">
            <w:pPr>
              <w:jc w:val="center"/>
              <w:rPr>
                <w:rFonts w:ascii="Arial" w:hAnsi="Arial" w:cs="Arial"/>
              </w:rPr>
            </w:pPr>
          </w:p>
        </w:tc>
      </w:tr>
      <w:tr w:rsidR="00E2148E" w:rsidRPr="0084743E" w14:paraId="702A3C4A" w14:textId="77777777" w:rsidTr="7480ADA0">
        <w:trPr>
          <w:gridAfter w:val="1"/>
          <w:wAfter w:w="448" w:type="dxa"/>
        </w:trPr>
        <w:tc>
          <w:tcPr>
            <w:tcW w:w="4508" w:type="dxa"/>
          </w:tcPr>
          <w:p w14:paraId="00EE4384" w14:textId="77777777" w:rsidR="00E2148E" w:rsidRPr="0084743E" w:rsidRDefault="00E2148E" w:rsidP="00A759EC">
            <w:pPr>
              <w:jc w:val="center"/>
              <w:rPr>
                <w:rFonts w:ascii="Arial" w:hAnsi="Arial" w:cs="Arial"/>
              </w:rPr>
            </w:pPr>
            <w:r w:rsidRPr="0084743E">
              <w:rPr>
                <w:rFonts w:ascii="Arial" w:hAnsi="Arial" w:cs="Arial"/>
              </w:rPr>
              <w:t>16</w:t>
            </w:r>
          </w:p>
          <w:p w14:paraId="4FA0C0E5" w14:textId="77777777" w:rsidR="00E2148E" w:rsidRPr="0084743E" w:rsidRDefault="00E2148E" w:rsidP="00A759EC">
            <w:pPr>
              <w:jc w:val="center"/>
              <w:rPr>
                <w:rFonts w:ascii="Arial" w:hAnsi="Arial" w:cs="Arial"/>
              </w:rPr>
            </w:pPr>
          </w:p>
        </w:tc>
        <w:tc>
          <w:tcPr>
            <w:tcW w:w="4508" w:type="dxa"/>
          </w:tcPr>
          <w:p w14:paraId="604F3D9F" w14:textId="0DEBFEE2" w:rsidR="001C2599" w:rsidRPr="0084743E" w:rsidRDefault="00143716" w:rsidP="001C2599">
            <w:pPr>
              <w:jc w:val="center"/>
              <w:rPr>
                <w:rFonts w:ascii="Arial" w:hAnsi="Arial" w:cs="Arial"/>
              </w:rPr>
            </w:pPr>
            <w:r w:rsidRPr="0084743E">
              <w:rPr>
                <w:rFonts w:ascii="Arial" w:hAnsi="Arial" w:cs="Arial"/>
              </w:rPr>
              <w:t>Met</w:t>
            </w:r>
          </w:p>
          <w:p w14:paraId="6514F5E5" w14:textId="6DAA01C8" w:rsidR="00E2148E" w:rsidRPr="0084743E" w:rsidRDefault="00E2148E" w:rsidP="00143716">
            <w:pPr>
              <w:jc w:val="center"/>
              <w:rPr>
                <w:rFonts w:ascii="Arial" w:hAnsi="Arial" w:cs="Arial"/>
              </w:rPr>
            </w:pPr>
          </w:p>
        </w:tc>
      </w:tr>
      <w:tr w:rsidR="00E2148E" w:rsidRPr="0084743E" w14:paraId="7C167230" w14:textId="77777777" w:rsidTr="7480ADA0">
        <w:trPr>
          <w:gridAfter w:val="1"/>
          <w:wAfter w:w="448" w:type="dxa"/>
        </w:trPr>
        <w:tc>
          <w:tcPr>
            <w:tcW w:w="4508" w:type="dxa"/>
          </w:tcPr>
          <w:p w14:paraId="1F57C484" w14:textId="77777777" w:rsidR="00E2148E" w:rsidRPr="0084743E" w:rsidRDefault="00E2148E" w:rsidP="00A759EC">
            <w:pPr>
              <w:jc w:val="center"/>
              <w:rPr>
                <w:rFonts w:ascii="Arial" w:hAnsi="Arial" w:cs="Arial"/>
              </w:rPr>
            </w:pPr>
            <w:r w:rsidRPr="0084743E">
              <w:rPr>
                <w:rFonts w:ascii="Arial" w:hAnsi="Arial" w:cs="Arial"/>
              </w:rPr>
              <w:t>17</w:t>
            </w:r>
          </w:p>
          <w:p w14:paraId="051AC982" w14:textId="77777777" w:rsidR="00E2148E" w:rsidRPr="0084743E" w:rsidRDefault="00E2148E" w:rsidP="00A759EC">
            <w:pPr>
              <w:jc w:val="center"/>
              <w:rPr>
                <w:rFonts w:ascii="Arial" w:hAnsi="Arial" w:cs="Arial"/>
              </w:rPr>
            </w:pPr>
          </w:p>
        </w:tc>
        <w:tc>
          <w:tcPr>
            <w:tcW w:w="4508" w:type="dxa"/>
          </w:tcPr>
          <w:p w14:paraId="0AC37F5A" w14:textId="1CE71D18" w:rsidR="001C2599" w:rsidRPr="0084743E" w:rsidRDefault="001C2599" w:rsidP="001C2599">
            <w:pPr>
              <w:jc w:val="center"/>
              <w:rPr>
                <w:rFonts w:ascii="Arial" w:hAnsi="Arial" w:cs="Arial"/>
              </w:rPr>
            </w:pPr>
            <w:r>
              <w:rPr>
                <w:rFonts w:ascii="Arial" w:hAnsi="Arial" w:cs="Arial"/>
              </w:rPr>
              <w:t xml:space="preserve">Partly </w:t>
            </w:r>
            <w:r w:rsidR="00143716" w:rsidRPr="0084743E">
              <w:rPr>
                <w:rFonts w:ascii="Arial" w:hAnsi="Arial" w:cs="Arial"/>
              </w:rPr>
              <w:t>Met</w:t>
            </w:r>
          </w:p>
          <w:p w14:paraId="6FB133A0" w14:textId="006B4619" w:rsidR="00E2148E" w:rsidRPr="0084743E" w:rsidRDefault="00E2148E" w:rsidP="00143716">
            <w:pPr>
              <w:jc w:val="center"/>
              <w:rPr>
                <w:rFonts w:ascii="Arial" w:hAnsi="Arial" w:cs="Arial"/>
              </w:rPr>
            </w:pPr>
          </w:p>
        </w:tc>
      </w:tr>
      <w:tr w:rsidR="00E2148E" w:rsidRPr="0084743E" w14:paraId="67E579D5" w14:textId="77777777" w:rsidTr="7480ADA0">
        <w:trPr>
          <w:gridAfter w:val="1"/>
          <w:wAfter w:w="448" w:type="dxa"/>
        </w:trPr>
        <w:tc>
          <w:tcPr>
            <w:tcW w:w="4508" w:type="dxa"/>
          </w:tcPr>
          <w:p w14:paraId="04279F64" w14:textId="77777777" w:rsidR="00E2148E" w:rsidRPr="0084743E" w:rsidRDefault="00E2148E" w:rsidP="00A759EC">
            <w:pPr>
              <w:jc w:val="center"/>
              <w:rPr>
                <w:rFonts w:ascii="Arial" w:hAnsi="Arial" w:cs="Arial"/>
              </w:rPr>
            </w:pPr>
            <w:r w:rsidRPr="0084743E">
              <w:rPr>
                <w:rFonts w:ascii="Arial" w:hAnsi="Arial" w:cs="Arial"/>
              </w:rPr>
              <w:t>18</w:t>
            </w:r>
          </w:p>
          <w:p w14:paraId="7F1A6DDB" w14:textId="77777777" w:rsidR="00E2148E" w:rsidRPr="0084743E" w:rsidRDefault="00E2148E" w:rsidP="00A759EC">
            <w:pPr>
              <w:jc w:val="center"/>
              <w:rPr>
                <w:rFonts w:ascii="Arial" w:hAnsi="Arial" w:cs="Arial"/>
              </w:rPr>
            </w:pPr>
          </w:p>
        </w:tc>
        <w:tc>
          <w:tcPr>
            <w:tcW w:w="4508" w:type="dxa"/>
          </w:tcPr>
          <w:p w14:paraId="6285134C" w14:textId="4FB84FD2" w:rsidR="001C2599" w:rsidRPr="0084743E" w:rsidRDefault="00143716" w:rsidP="001C2599">
            <w:pPr>
              <w:jc w:val="center"/>
              <w:rPr>
                <w:rFonts w:ascii="Arial" w:hAnsi="Arial" w:cs="Arial"/>
              </w:rPr>
            </w:pPr>
            <w:r w:rsidRPr="0084743E">
              <w:rPr>
                <w:rFonts w:ascii="Arial" w:hAnsi="Arial" w:cs="Arial"/>
              </w:rPr>
              <w:t>Met</w:t>
            </w:r>
          </w:p>
          <w:p w14:paraId="33F5630B" w14:textId="70CE1EBB" w:rsidR="00E2148E" w:rsidRPr="0084743E" w:rsidRDefault="00E2148E" w:rsidP="00143716">
            <w:pPr>
              <w:jc w:val="center"/>
              <w:rPr>
                <w:rFonts w:ascii="Arial" w:hAnsi="Arial" w:cs="Arial"/>
              </w:rPr>
            </w:pPr>
          </w:p>
        </w:tc>
      </w:tr>
      <w:tr w:rsidR="00E2148E" w:rsidRPr="0084743E" w14:paraId="245C142C" w14:textId="77777777" w:rsidTr="7480ADA0">
        <w:trPr>
          <w:gridAfter w:val="1"/>
          <w:wAfter w:w="448" w:type="dxa"/>
        </w:trPr>
        <w:tc>
          <w:tcPr>
            <w:tcW w:w="4508" w:type="dxa"/>
          </w:tcPr>
          <w:p w14:paraId="697FBC3D" w14:textId="77777777" w:rsidR="00E2148E" w:rsidRPr="0084743E" w:rsidRDefault="00E2148E" w:rsidP="00A759EC">
            <w:pPr>
              <w:jc w:val="center"/>
              <w:rPr>
                <w:rFonts w:ascii="Arial" w:hAnsi="Arial" w:cs="Arial"/>
              </w:rPr>
            </w:pPr>
            <w:r w:rsidRPr="0084743E">
              <w:rPr>
                <w:rFonts w:ascii="Arial" w:hAnsi="Arial" w:cs="Arial"/>
              </w:rPr>
              <w:t>19</w:t>
            </w:r>
          </w:p>
          <w:p w14:paraId="64656486" w14:textId="77777777" w:rsidR="00E2148E" w:rsidRPr="0084743E" w:rsidRDefault="00E2148E" w:rsidP="00A759EC">
            <w:pPr>
              <w:jc w:val="center"/>
              <w:rPr>
                <w:rFonts w:ascii="Arial" w:hAnsi="Arial" w:cs="Arial"/>
              </w:rPr>
            </w:pPr>
          </w:p>
        </w:tc>
        <w:tc>
          <w:tcPr>
            <w:tcW w:w="4508" w:type="dxa"/>
          </w:tcPr>
          <w:p w14:paraId="55F5597D" w14:textId="7097128D" w:rsidR="001C2599" w:rsidRPr="0084743E" w:rsidRDefault="00143716" w:rsidP="001C2599">
            <w:pPr>
              <w:jc w:val="center"/>
              <w:rPr>
                <w:rFonts w:ascii="Arial" w:hAnsi="Arial" w:cs="Arial"/>
              </w:rPr>
            </w:pPr>
            <w:r w:rsidRPr="0084743E">
              <w:rPr>
                <w:rFonts w:ascii="Arial" w:hAnsi="Arial" w:cs="Arial"/>
              </w:rPr>
              <w:t>Met</w:t>
            </w:r>
          </w:p>
          <w:p w14:paraId="20CE45E5" w14:textId="1FE72202" w:rsidR="00E2148E" w:rsidRPr="0084743E" w:rsidRDefault="00E2148E" w:rsidP="00143716">
            <w:pPr>
              <w:jc w:val="center"/>
              <w:rPr>
                <w:rFonts w:ascii="Arial" w:hAnsi="Arial" w:cs="Arial"/>
              </w:rPr>
            </w:pPr>
          </w:p>
        </w:tc>
      </w:tr>
      <w:tr w:rsidR="00E2148E" w:rsidRPr="0084743E" w14:paraId="6A8BD8CB" w14:textId="77777777" w:rsidTr="7480ADA0">
        <w:trPr>
          <w:gridAfter w:val="1"/>
          <w:wAfter w:w="448" w:type="dxa"/>
        </w:trPr>
        <w:tc>
          <w:tcPr>
            <w:tcW w:w="4508" w:type="dxa"/>
          </w:tcPr>
          <w:p w14:paraId="7B7E9560" w14:textId="77777777" w:rsidR="00E2148E" w:rsidRPr="0084743E" w:rsidRDefault="00E2148E" w:rsidP="00A759EC">
            <w:pPr>
              <w:jc w:val="center"/>
              <w:rPr>
                <w:rFonts w:ascii="Arial" w:hAnsi="Arial" w:cs="Arial"/>
              </w:rPr>
            </w:pPr>
            <w:r w:rsidRPr="0084743E">
              <w:rPr>
                <w:rFonts w:ascii="Arial" w:hAnsi="Arial" w:cs="Arial"/>
              </w:rPr>
              <w:t>20</w:t>
            </w:r>
          </w:p>
          <w:p w14:paraId="42358953" w14:textId="77777777" w:rsidR="00E2148E" w:rsidRPr="0084743E" w:rsidRDefault="00E2148E" w:rsidP="00A759EC">
            <w:pPr>
              <w:jc w:val="center"/>
              <w:rPr>
                <w:rFonts w:ascii="Arial" w:hAnsi="Arial" w:cs="Arial"/>
              </w:rPr>
            </w:pPr>
          </w:p>
        </w:tc>
        <w:tc>
          <w:tcPr>
            <w:tcW w:w="4508" w:type="dxa"/>
          </w:tcPr>
          <w:p w14:paraId="2BD79881" w14:textId="7D35C263" w:rsidR="001C2599" w:rsidRPr="0084743E" w:rsidRDefault="00143716" w:rsidP="001C2599">
            <w:pPr>
              <w:jc w:val="center"/>
              <w:rPr>
                <w:rFonts w:ascii="Arial" w:hAnsi="Arial" w:cs="Arial"/>
              </w:rPr>
            </w:pPr>
            <w:r w:rsidRPr="0084743E">
              <w:rPr>
                <w:rFonts w:ascii="Arial" w:hAnsi="Arial" w:cs="Arial"/>
              </w:rPr>
              <w:t>Met</w:t>
            </w:r>
          </w:p>
          <w:p w14:paraId="1AE1FBF6" w14:textId="5D13E8A8" w:rsidR="00E2148E" w:rsidRPr="0084743E" w:rsidRDefault="00E2148E" w:rsidP="00143716">
            <w:pPr>
              <w:jc w:val="center"/>
              <w:rPr>
                <w:rFonts w:ascii="Arial" w:hAnsi="Arial" w:cs="Arial"/>
              </w:rPr>
            </w:pPr>
          </w:p>
        </w:tc>
      </w:tr>
      <w:tr w:rsidR="00E2148E" w:rsidRPr="0084743E" w14:paraId="1CD3FBFF" w14:textId="77777777" w:rsidTr="7480ADA0">
        <w:trPr>
          <w:gridAfter w:val="1"/>
          <w:wAfter w:w="448" w:type="dxa"/>
        </w:trPr>
        <w:tc>
          <w:tcPr>
            <w:tcW w:w="4508" w:type="dxa"/>
          </w:tcPr>
          <w:p w14:paraId="1208C814" w14:textId="77777777" w:rsidR="00E2148E" w:rsidRPr="0084743E" w:rsidRDefault="00E2148E" w:rsidP="00A759EC">
            <w:pPr>
              <w:jc w:val="center"/>
              <w:rPr>
                <w:rFonts w:ascii="Arial" w:hAnsi="Arial" w:cs="Arial"/>
              </w:rPr>
            </w:pPr>
            <w:r w:rsidRPr="0084743E">
              <w:rPr>
                <w:rFonts w:ascii="Arial" w:hAnsi="Arial" w:cs="Arial"/>
              </w:rPr>
              <w:t>21</w:t>
            </w:r>
          </w:p>
          <w:p w14:paraId="75F0630E" w14:textId="77777777" w:rsidR="00E2148E" w:rsidRPr="0084743E" w:rsidRDefault="00E2148E" w:rsidP="00A759EC">
            <w:pPr>
              <w:jc w:val="center"/>
              <w:rPr>
                <w:rFonts w:ascii="Arial" w:hAnsi="Arial" w:cs="Arial"/>
              </w:rPr>
            </w:pPr>
          </w:p>
        </w:tc>
        <w:tc>
          <w:tcPr>
            <w:tcW w:w="4508" w:type="dxa"/>
          </w:tcPr>
          <w:p w14:paraId="37F4E98F" w14:textId="113EA3C6" w:rsidR="001C2599" w:rsidRPr="0084743E" w:rsidRDefault="00143716" w:rsidP="001C2599">
            <w:pPr>
              <w:jc w:val="center"/>
              <w:rPr>
                <w:rFonts w:ascii="Arial" w:hAnsi="Arial" w:cs="Arial"/>
              </w:rPr>
            </w:pPr>
            <w:r w:rsidRPr="0084743E">
              <w:rPr>
                <w:rFonts w:ascii="Arial" w:hAnsi="Arial" w:cs="Arial"/>
              </w:rPr>
              <w:t>Met</w:t>
            </w:r>
          </w:p>
          <w:p w14:paraId="22150E58" w14:textId="133B158F" w:rsidR="00E2148E" w:rsidRPr="0084743E" w:rsidRDefault="00E2148E" w:rsidP="00143716">
            <w:pPr>
              <w:jc w:val="center"/>
              <w:rPr>
                <w:rFonts w:ascii="Arial" w:hAnsi="Arial" w:cs="Arial"/>
              </w:rPr>
            </w:pPr>
          </w:p>
        </w:tc>
      </w:tr>
      <w:tr w:rsidR="00E2148E" w:rsidRPr="0084743E" w14:paraId="5CBB5D8F" w14:textId="77777777" w:rsidTr="7480ADA0">
        <w:tc>
          <w:tcPr>
            <w:tcW w:w="9464" w:type="dxa"/>
            <w:gridSpan w:val="3"/>
            <w:shd w:val="clear" w:color="auto" w:fill="2F5496" w:themeFill="accent1" w:themeFillShade="BF"/>
          </w:tcPr>
          <w:p w14:paraId="6B5C6D76" w14:textId="77777777" w:rsidR="00E2148E" w:rsidRPr="0084743E" w:rsidRDefault="00E2148E" w:rsidP="00A759EC">
            <w:pPr>
              <w:rPr>
                <w:rFonts w:ascii="Arial" w:hAnsi="Arial" w:cs="Arial"/>
                <w:b/>
                <w:color w:val="FFFFFF" w:themeColor="background1"/>
              </w:rPr>
            </w:pPr>
            <w:r w:rsidRPr="0084743E">
              <w:rPr>
                <w:rFonts w:ascii="Arial" w:hAnsi="Arial" w:cs="Arial"/>
                <w:b/>
                <w:color w:val="FFFFFF" w:themeColor="background1"/>
              </w:rPr>
              <w:t xml:space="preserve">Standard 1 – Protecting </w:t>
            </w:r>
            <w:proofErr w:type="gramStart"/>
            <w:r w:rsidRPr="0084743E">
              <w:rPr>
                <w:rFonts w:ascii="Arial" w:hAnsi="Arial" w:cs="Arial"/>
                <w:b/>
                <w:color w:val="FFFFFF" w:themeColor="background1"/>
              </w:rPr>
              <w:t>patients</w:t>
            </w:r>
            <w:proofErr w:type="gramEnd"/>
            <w:r w:rsidRPr="0084743E">
              <w:rPr>
                <w:rFonts w:ascii="Arial" w:hAnsi="Arial" w:cs="Arial"/>
                <w:b/>
                <w:color w:val="FFFFFF" w:themeColor="background1"/>
              </w:rPr>
              <w:t xml:space="preserve"> </w:t>
            </w:r>
          </w:p>
          <w:p w14:paraId="53E03E1A" w14:textId="0E212E97" w:rsidR="00E2148E" w:rsidRPr="0084743E" w:rsidRDefault="00E2148E" w:rsidP="00A759EC">
            <w:pPr>
              <w:rPr>
                <w:rFonts w:ascii="Arial" w:hAnsi="Arial" w:cs="Arial"/>
                <w:color w:val="FFFFFF" w:themeColor="background1"/>
              </w:rPr>
            </w:pPr>
            <w:r w:rsidRPr="0084743E">
              <w:rPr>
                <w:rFonts w:ascii="Arial" w:eastAsia="Calibri" w:hAnsi="Arial" w:cs="Arial"/>
                <w:b/>
                <w:color w:val="FFFFFF" w:themeColor="background1"/>
              </w:rPr>
              <w:lastRenderedPageBreak/>
              <w:t>Providers must be aware of their duty to protect the public.  Providers must ensure that patient safety is paramount</w:t>
            </w:r>
            <w:r w:rsidR="283057F4" w:rsidRPr="359BEEF5">
              <w:rPr>
                <w:rFonts w:ascii="Arial" w:eastAsia="Calibri" w:hAnsi="Arial" w:cs="Arial"/>
                <w:b/>
                <w:bCs/>
                <w:color w:val="FFFFFF" w:themeColor="background1"/>
              </w:rPr>
              <w:t>,</w:t>
            </w:r>
            <w:r w:rsidRPr="0084743E">
              <w:rPr>
                <w:rFonts w:ascii="Arial" w:eastAsia="Calibri" w:hAnsi="Arial" w:cs="Arial"/>
                <w:b/>
                <w:color w:val="FFFFFF" w:themeColor="background1"/>
              </w:rPr>
              <w:t xml:space="preserve"> and care of patients is of an appropriate standard. Any risk to the safety of patients and their care by students must be minimised.</w:t>
            </w:r>
          </w:p>
        </w:tc>
      </w:tr>
      <w:tr w:rsidR="00E2148E" w:rsidRPr="0084743E" w14:paraId="5686D0AA" w14:textId="77777777" w:rsidTr="7480ADA0">
        <w:trPr>
          <w:trHeight w:val="270"/>
        </w:trPr>
        <w:tc>
          <w:tcPr>
            <w:tcW w:w="9464" w:type="dxa"/>
            <w:gridSpan w:val="3"/>
          </w:tcPr>
          <w:p w14:paraId="1B01294B" w14:textId="77777777" w:rsidR="00E2148E" w:rsidRPr="0084743E" w:rsidRDefault="00E2148E" w:rsidP="00A759EC">
            <w:pPr>
              <w:tabs>
                <w:tab w:val="left" w:pos="720"/>
                <w:tab w:val="left" w:pos="9248"/>
              </w:tabs>
              <w:ind w:right="34"/>
              <w:rPr>
                <w:rFonts w:ascii="Arial" w:eastAsia="Calibri" w:hAnsi="Arial" w:cs="Arial"/>
                <w:b/>
                <w:color w:val="000000" w:themeColor="text1"/>
              </w:rPr>
            </w:pPr>
          </w:p>
          <w:p w14:paraId="3748D1DA" w14:textId="76118FED" w:rsidR="00E2148E" w:rsidRPr="0084743E" w:rsidRDefault="00E2148E" w:rsidP="00A759EC">
            <w:pPr>
              <w:tabs>
                <w:tab w:val="left" w:pos="720"/>
                <w:tab w:val="left" w:pos="9248"/>
              </w:tabs>
              <w:ind w:right="34"/>
              <w:rPr>
                <w:rFonts w:ascii="Arial" w:hAnsi="Arial" w:cs="Arial"/>
              </w:rPr>
            </w:pPr>
            <w:r w:rsidRPr="0084743E">
              <w:rPr>
                <w:rFonts w:ascii="Arial" w:eastAsia="Calibri" w:hAnsi="Arial" w:cs="Arial"/>
                <w:b/>
                <w:color w:val="000000" w:themeColor="text1"/>
              </w:rPr>
              <w:t xml:space="preserve">Requirement 1: Students must provide patient care only when they have demonstrated adequate knowledge and skills. For clinical procedures, the student should be assessed as competent in the relevant skills at the levels required in the pre-clinical environments prior to treating patients. </w:t>
            </w:r>
            <w:r w:rsidRPr="0084743E">
              <w:rPr>
                <w:rFonts w:ascii="Arial" w:eastAsia="Calibri" w:hAnsi="Arial" w:cs="Arial"/>
                <w:b/>
                <w:i/>
                <w:color w:val="000000" w:themeColor="text1"/>
              </w:rPr>
              <w:t>(</w:t>
            </w:r>
            <w:r w:rsidR="000A6A8E" w:rsidRPr="00CD3455">
              <w:rPr>
                <w:rFonts w:ascii="Arial" w:eastAsia="Calibri" w:hAnsi="Arial" w:cs="Arial"/>
                <w:b/>
                <w:i/>
                <w:color w:val="000000" w:themeColor="text1"/>
              </w:rPr>
              <w:t>Requirement Met</w:t>
            </w:r>
            <w:r w:rsidR="000A6A8E" w:rsidRPr="0084743E">
              <w:rPr>
                <w:rFonts w:ascii="Arial" w:eastAsia="Calibri" w:hAnsi="Arial" w:cs="Arial"/>
                <w:b/>
                <w:i/>
                <w:color w:val="000000" w:themeColor="text1"/>
              </w:rPr>
              <w:t>)</w:t>
            </w:r>
          </w:p>
          <w:p w14:paraId="7FA76345" w14:textId="77777777" w:rsidR="00E2148E" w:rsidRDefault="00E2148E" w:rsidP="00A759EC">
            <w:pPr>
              <w:tabs>
                <w:tab w:val="left" w:pos="720"/>
              </w:tabs>
              <w:ind w:right="2789"/>
              <w:rPr>
                <w:rFonts w:ascii="Arial" w:eastAsia="Calibri" w:hAnsi="Arial" w:cs="Arial"/>
                <w:color w:val="000000" w:themeColor="text1"/>
              </w:rPr>
            </w:pPr>
          </w:p>
          <w:p w14:paraId="7C56BBF7" w14:textId="68E4CAE7" w:rsidR="000B0E7C" w:rsidRDefault="7583B7BF" w:rsidP="00C06708">
            <w:pPr>
              <w:tabs>
                <w:tab w:val="left" w:pos="720"/>
              </w:tabs>
              <w:ind w:right="5"/>
              <w:rPr>
                <w:rFonts w:ascii="Arial" w:eastAsia="Calibri" w:hAnsi="Arial" w:cs="Arial"/>
                <w:color w:val="000000" w:themeColor="text1"/>
              </w:rPr>
            </w:pPr>
            <w:r w:rsidRPr="7480ADA0">
              <w:rPr>
                <w:rFonts w:ascii="Arial" w:eastAsia="Calibri" w:hAnsi="Arial" w:cs="Arial"/>
                <w:color w:val="000000" w:themeColor="text1"/>
              </w:rPr>
              <w:t xml:space="preserve">Students undertake </w:t>
            </w:r>
            <w:r w:rsidR="4E46D286" w:rsidRPr="7480ADA0">
              <w:rPr>
                <w:rFonts w:ascii="Arial" w:eastAsia="Calibri" w:hAnsi="Arial" w:cs="Arial"/>
                <w:color w:val="000000" w:themeColor="text1"/>
              </w:rPr>
              <w:t>pre-clinical skills training</w:t>
            </w:r>
            <w:r w:rsidR="5EC97D1D" w:rsidRPr="7480ADA0">
              <w:rPr>
                <w:rFonts w:ascii="Arial" w:eastAsia="Calibri" w:hAnsi="Arial" w:cs="Arial"/>
                <w:color w:val="000000" w:themeColor="text1"/>
              </w:rPr>
              <w:t xml:space="preserve"> on phantom heads before progressing to patients. A</w:t>
            </w:r>
            <w:r w:rsidR="7816132A" w:rsidRPr="7480ADA0">
              <w:rPr>
                <w:rFonts w:ascii="Arial" w:eastAsia="Calibri" w:hAnsi="Arial" w:cs="Arial"/>
                <w:color w:val="000000" w:themeColor="text1"/>
              </w:rPr>
              <w:t xml:space="preserve">n </w:t>
            </w:r>
            <w:r w:rsidR="790CA4C9" w:rsidRPr="7480ADA0">
              <w:rPr>
                <w:rFonts w:ascii="Arial" w:eastAsia="Calibri" w:hAnsi="Arial" w:cs="Arial"/>
                <w:color w:val="000000" w:themeColor="text1"/>
              </w:rPr>
              <w:t xml:space="preserve">objective structured clinical examination </w:t>
            </w:r>
            <w:r w:rsidR="65297597" w:rsidRPr="7480ADA0">
              <w:rPr>
                <w:rFonts w:ascii="Arial" w:eastAsia="Calibri" w:hAnsi="Arial" w:cs="Arial"/>
                <w:color w:val="000000" w:themeColor="text1"/>
              </w:rPr>
              <w:t>must be passed prior to students coming out of pre-clinical skills training</w:t>
            </w:r>
            <w:r w:rsidR="79810BE6" w:rsidRPr="7480ADA0">
              <w:rPr>
                <w:rFonts w:ascii="Arial" w:eastAsia="Calibri" w:hAnsi="Arial" w:cs="Arial"/>
                <w:color w:val="000000" w:themeColor="text1"/>
              </w:rPr>
              <w:t xml:space="preserve"> and receiving their passport to clinic.</w:t>
            </w:r>
            <w:r w:rsidR="2D305EBC" w:rsidRPr="7480ADA0">
              <w:rPr>
                <w:rFonts w:ascii="Arial" w:eastAsia="Calibri" w:hAnsi="Arial" w:cs="Arial"/>
                <w:color w:val="000000" w:themeColor="text1"/>
              </w:rPr>
              <w:t xml:space="preserve"> </w:t>
            </w:r>
            <w:r w:rsidR="506D01B3" w:rsidRPr="7480ADA0">
              <w:rPr>
                <w:rFonts w:ascii="Arial" w:eastAsia="Calibri" w:hAnsi="Arial" w:cs="Arial"/>
                <w:color w:val="000000" w:themeColor="text1"/>
              </w:rPr>
              <w:t xml:space="preserve">Regular phantom head work is supported by </w:t>
            </w:r>
            <w:r w:rsidR="2D305EBC" w:rsidRPr="7480ADA0">
              <w:rPr>
                <w:rFonts w:ascii="Arial" w:eastAsia="Calibri" w:hAnsi="Arial" w:cs="Arial"/>
                <w:color w:val="000000" w:themeColor="text1"/>
              </w:rPr>
              <w:t xml:space="preserve">experience in </w:t>
            </w:r>
            <w:r w:rsidR="39D6144F" w:rsidRPr="7480ADA0">
              <w:rPr>
                <w:rFonts w:ascii="Arial" w:eastAsia="Calibri" w:hAnsi="Arial" w:cs="Arial"/>
                <w:color w:val="000000" w:themeColor="text1"/>
              </w:rPr>
              <w:t xml:space="preserve">the </w:t>
            </w:r>
            <w:r w:rsidR="006F2108">
              <w:rPr>
                <w:rFonts w:ascii="Arial" w:eastAsia="Calibri" w:hAnsi="Arial" w:cs="Arial"/>
                <w:color w:val="000000" w:themeColor="text1"/>
              </w:rPr>
              <w:t>h</w:t>
            </w:r>
            <w:r w:rsidR="39D6144F" w:rsidRPr="7480ADA0">
              <w:rPr>
                <w:rFonts w:ascii="Arial" w:eastAsia="Calibri" w:hAnsi="Arial" w:cs="Arial"/>
                <w:color w:val="000000" w:themeColor="text1"/>
              </w:rPr>
              <w:t>aptics laboratory</w:t>
            </w:r>
            <w:r w:rsidR="2D305EBC" w:rsidRPr="7480ADA0">
              <w:rPr>
                <w:rFonts w:ascii="Arial" w:eastAsia="Calibri" w:hAnsi="Arial" w:cs="Arial"/>
                <w:color w:val="000000" w:themeColor="text1"/>
              </w:rPr>
              <w:t>.</w:t>
            </w:r>
            <w:r w:rsidR="309E04F6" w:rsidRPr="7480ADA0">
              <w:rPr>
                <w:rFonts w:ascii="Arial" w:eastAsia="Calibri" w:hAnsi="Arial" w:cs="Arial"/>
                <w:color w:val="000000" w:themeColor="text1"/>
              </w:rPr>
              <w:t xml:space="preserve"> </w:t>
            </w:r>
            <w:r w:rsidR="216483E4" w:rsidRPr="7480ADA0">
              <w:rPr>
                <w:rFonts w:ascii="Arial" w:eastAsia="Calibri" w:hAnsi="Arial" w:cs="Arial"/>
                <w:color w:val="000000" w:themeColor="text1"/>
              </w:rPr>
              <w:t xml:space="preserve">The pre-clinical skills element of the programme is supported by </w:t>
            </w:r>
            <w:r w:rsidR="2E92341A" w:rsidRPr="7480ADA0">
              <w:rPr>
                <w:rFonts w:ascii="Arial" w:eastAsia="Calibri" w:hAnsi="Arial" w:cs="Arial"/>
                <w:color w:val="000000" w:themeColor="text1"/>
              </w:rPr>
              <w:t>workbooks that students must complete and appropriate module guides.</w:t>
            </w:r>
          </w:p>
          <w:p w14:paraId="40748A89" w14:textId="77777777" w:rsidR="00F55EBB" w:rsidRDefault="00F55EBB" w:rsidP="00C06708">
            <w:pPr>
              <w:tabs>
                <w:tab w:val="left" w:pos="720"/>
              </w:tabs>
              <w:ind w:right="5"/>
              <w:rPr>
                <w:rFonts w:ascii="Arial" w:eastAsia="Calibri" w:hAnsi="Arial" w:cs="Arial"/>
                <w:color w:val="000000" w:themeColor="text1"/>
              </w:rPr>
            </w:pPr>
          </w:p>
          <w:p w14:paraId="55E40AEB" w14:textId="49C913A0" w:rsidR="00F55EBB" w:rsidRDefault="009B7116" w:rsidP="00C06708">
            <w:pPr>
              <w:tabs>
                <w:tab w:val="left" w:pos="720"/>
              </w:tabs>
              <w:ind w:right="5"/>
              <w:rPr>
                <w:rFonts w:ascii="Arial" w:eastAsia="Calibri" w:hAnsi="Arial" w:cs="Arial"/>
                <w:color w:val="000000" w:themeColor="text1"/>
              </w:rPr>
            </w:pPr>
            <w:r>
              <w:rPr>
                <w:rFonts w:ascii="Arial" w:eastAsia="Calibri" w:hAnsi="Arial" w:cs="Arial"/>
                <w:color w:val="000000" w:themeColor="text1"/>
              </w:rPr>
              <w:t>The School utilises clear assessment strategies and every assessment has associated marking criteria.</w:t>
            </w:r>
            <w:r w:rsidR="00C943EC">
              <w:rPr>
                <w:rFonts w:ascii="Arial" w:eastAsia="Calibri" w:hAnsi="Arial" w:cs="Arial"/>
                <w:color w:val="000000" w:themeColor="text1"/>
              </w:rPr>
              <w:t xml:space="preserve"> The panel found the Requirement to be met.</w:t>
            </w:r>
          </w:p>
          <w:p w14:paraId="2F4C5263" w14:textId="77777777" w:rsidR="00AD359B" w:rsidRDefault="00AD359B" w:rsidP="00C06708">
            <w:pPr>
              <w:tabs>
                <w:tab w:val="left" w:pos="720"/>
              </w:tabs>
              <w:ind w:right="5"/>
              <w:rPr>
                <w:rFonts w:ascii="Arial" w:eastAsia="Calibri" w:hAnsi="Arial" w:cs="Arial"/>
                <w:color w:val="000000" w:themeColor="text1"/>
              </w:rPr>
            </w:pPr>
          </w:p>
          <w:p w14:paraId="21D22A1D" w14:textId="77777777" w:rsidR="00506C6C" w:rsidRPr="0084743E" w:rsidRDefault="00506C6C" w:rsidP="00A759EC">
            <w:pPr>
              <w:tabs>
                <w:tab w:val="left" w:pos="720"/>
              </w:tabs>
              <w:ind w:right="2789"/>
              <w:rPr>
                <w:rFonts w:ascii="Arial" w:eastAsia="Calibri" w:hAnsi="Arial" w:cs="Arial"/>
                <w:color w:val="000000" w:themeColor="text1"/>
              </w:rPr>
            </w:pPr>
          </w:p>
          <w:p w14:paraId="15053E8F" w14:textId="353D3635" w:rsidR="00E2148E" w:rsidRPr="0084743E" w:rsidRDefault="00E2148E" w:rsidP="00A759EC">
            <w:pPr>
              <w:tabs>
                <w:tab w:val="left" w:pos="720"/>
                <w:tab w:val="left" w:pos="9214"/>
              </w:tabs>
              <w:ind w:right="34"/>
              <w:rPr>
                <w:rFonts w:ascii="Arial" w:eastAsia="Calibri" w:hAnsi="Arial" w:cs="Arial"/>
                <w:b/>
                <w:color w:val="000000" w:themeColor="text1"/>
              </w:rPr>
            </w:pPr>
            <w:r w:rsidRPr="0084743E">
              <w:rPr>
                <w:rFonts w:ascii="Arial" w:eastAsia="Calibri" w:hAnsi="Arial" w:cs="Arial"/>
                <w:b/>
                <w:color w:val="000000" w:themeColor="text1"/>
              </w:rPr>
              <w:t xml:space="preserve">Requirement 2: Providers must have systems in place to inform patients that they may be treated by students and the possible implications of this. Patient agreement to treatment by a student must be obtained and recorded prior to treatment commencing. </w:t>
            </w:r>
            <w:r w:rsidRPr="00CD3455">
              <w:rPr>
                <w:rFonts w:ascii="Arial" w:eastAsia="Calibri" w:hAnsi="Arial" w:cs="Arial"/>
                <w:b/>
                <w:i/>
                <w:color w:val="000000" w:themeColor="text1"/>
              </w:rPr>
              <w:t>(Requirement Met)</w:t>
            </w:r>
          </w:p>
          <w:p w14:paraId="053DA5B5" w14:textId="77777777" w:rsidR="00E2148E" w:rsidRDefault="00E2148E" w:rsidP="00A759EC">
            <w:pPr>
              <w:tabs>
                <w:tab w:val="left" w:pos="720"/>
                <w:tab w:val="left" w:pos="9214"/>
              </w:tabs>
              <w:ind w:right="176"/>
              <w:rPr>
                <w:rFonts w:ascii="Arial" w:hAnsi="Arial" w:cs="Arial"/>
              </w:rPr>
            </w:pPr>
          </w:p>
          <w:p w14:paraId="27F00D1F" w14:textId="1FFF5A72" w:rsidR="00B61774" w:rsidRDefault="004E3377" w:rsidP="00A759EC">
            <w:pPr>
              <w:tabs>
                <w:tab w:val="left" w:pos="720"/>
                <w:tab w:val="left" w:pos="9214"/>
              </w:tabs>
              <w:ind w:right="176"/>
              <w:rPr>
                <w:rFonts w:ascii="Arial" w:hAnsi="Arial" w:cs="Arial"/>
              </w:rPr>
            </w:pPr>
            <w:r>
              <w:rPr>
                <w:rFonts w:ascii="Arial" w:hAnsi="Arial" w:cs="Arial"/>
              </w:rPr>
              <w:t>P</w:t>
            </w:r>
            <w:r w:rsidR="00087ED9">
              <w:rPr>
                <w:rFonts w:ascii="Arial" w:hAnsi="Arial" w:cs="Arial"/>
              </w:rPr>
              <w:t>atients are informed that their treatment will be provided by students prior to them attending the clinical environment.</w:t>
            </w:r>
            <w:r w:rsidR="007342CF">
              <w:rPr>
                <w:rFonts w:ascii="Arial" w:hAnsi="Arial" w:cs="Arial"/>
              </w:rPr>
              <w:t xml:space="preserve"> </w:t>
            </w:r>
            <w:r w:rsidR="008B4A2F">
              <w:rPr>
                <w:rFonts w:ascii="Arial" w:hAnsi="Arial" w:cs="Arial"/>
              </w:rPr>
              <w:t xml:space="preserve">A consent form must be </w:t>
            </w:r>
            <w:r w:rsidR="0093315A">
              <w:rPr>
                <w:rFonts w:ascii="Arial" w:hAnsi="Arial" w:cs="Arial"/>
              </w:rPr>
              <w:t>signed,</w:t>
            </w:r>
            <w:r w:rsidR="008B4A2F">
              <w:rPr>
                <w:rFonts w:ascii="Arial" w:hAnsi="Arial" w:cs="Arial"/>
              </w:rPr>
              <w:t xml:space="preserve"> and </w:t>
            </w:r>
            <w:r w:rsidR="004F5154">
              <w:rPr>
                <w:rFonts w:ascii="Arial" w:hAnsi="Arial" w:cs="Arial"/>
              </w:rPr>
              <w:t>the student will discuss this with the patient before commencing treatment. The consent forms were reviewed and found to be appropriate.</w:t>
            </w:r>
            <w:r>
              <w:rPr>
                <w:rFonts w:ascii="Arial" w:hAnsi="Arial" w:cs="Arial"/>
              </w:rPr>
              <w:t xml:space="preserve"> </w:t>
            </w:r>
            <w:r w:rsidR="00CD3455">
              <w:rPr>
                <w:rFonts w:ascii="Arial" w:hAnsi="Arial" w:cs="Arial"/>
              </w:rPr>
              <w:t>Signage and badges denoting the students’ status are also in use.</w:t>
            </w:r>
            <w:r w:rsidR="006F2108">
              <w:rPr>
                <w:rFonts w:ascii="Arial" w:hAnsi="Arial" w:cs="Arial"/>
              </w:rPr>
              <w:t xml:space="preserve"> Patients may rescind this consent at any time.</w:t>
            </w:r>
          </w:p>
          <w:p w14:paraId="54D394F8" w14:textId="77777777" w:rsidR="00CD3455" w:rsidRDefault="00CD3455" w:rsidP="00A759EC">
            <w:pPr>
              <w:tabs>
                <w:tab w:val="left" w:pos="720"/>
                <w:tab w:val="left" w:pos="9214"/>
              </w:tabs>
              <w:ind w:right="176"/>
              <w:rPr>
                <w:rFonts w:ascii="Arial" w:hAnsi="Arial" w:cs="Arial"/>
              </w:rPr>
            </w:pPr>
          </w:p>
          <w:p w14:paraId="26B1C526" w14:textId="0B2E5A1B" w:rsidR="00CD3455" w:rsidRDefault="634CD80F" w:rsidP="00A759EC">
            <w:pPr>
              <w:tabs>
                <w:tab w:val="left" w:pos="720"/>
                <w:tab w:val="left" w:pos="9214"/>
              </w:tabs>
              <w:ind w:right="176"/>
              <w:rPr>
                <w:rFonts w:ascii="Arial" w:hAnsi="Arial" w:cs="Arial"/>
              </w:rPr>
            </w:pPr>
            <w:r w:rsidRPr="7480ADA0">
              <w:rPr>
                <w:rFonts w:ascii="Arial" w:hAnsi="Arial" w:cs="Arial"/>
              </w:rPr>
              <w:t>The consent process was well-articulated by both staff and students. The panel were content that the Requirement is met.</w:t>
            </w:r>
          </w:p>
          <w:p w14:paraId="513690AB" w14:textId="77777777" w:rsidR="00B61774" w:rsidRDefault="00B61774" w:rsidP="00A759EC">
            <w:pPr>
              <w:tabs>
                <w:tab w:val="left" w:pos="720"/>
                <w:tab w:val="left" w:pos="9214"/>
              </w:tabs>
              <w:ind w:right="176"/>
              <w:rPr>
                <w:rFonts w:ascii="Arial" w:hAnsi="Arial" w:cs="Arial"/>
              </w:rPr>
            </w:pPr>
          </w:p>
          <w:p w14:paraId="734ED5DD" w14:textId="77777777" w:rsidR="00506C6C" w:rsidRPr="0084743E" w:rsidRDefault="00506C6C" w:rsidP="00A759EC">
            <w:pPr>
              <w:tabs>
                <w:tab w:val="left" w:pos="720"/>
                <w:tab w:val="left" w:pos="9214"/>
              </w:tabs>
              <w:ind w:right="176"/>
              <w:rPr>
                <w:rFonts w:ascii="Arial" w:hAnsi="Arial" w:cs="Arial"/>
              </w:rPr>
            </w:pPr>
          </w:p>
          <w:p w14:paraId="1AD7F6F9" w14:textId="4A224184" w:rsidR="00E2148E" w:rsidRPr="0084743E" w:rsidRDefault="00E2148E" w:rsidP="00A759EC">
            <w:pPr>
              <w:tabs>
                <w:tab w:val="left" w:pos="720"/>
                <w:tab w:val="left" w:pos="9214"/>
              </w:tabs>
              <w:ind w:right="34"/>
              <w:rPr>
                <w:rFonts w:ascii="Arial" w:eastAsia="Calibri" w:hAnsi="Arial" w:cs="Arial"/>
                <w:b/>
                <w:color w:val="000000" w:themeColor="text1"/>
              </w:rPr>
            </w:pPr>
            <w:r w:rsidRPr="0084743E">
              <w:rPr>
                <w:rFonts w:ascii="Arial" w:eastAsia="Calibri" w:hAnsi="Arial" w:cs="Arial"/>
                <w:b/>
                <w:color w:val="000000" w:themeColor="text1"/>
              </w:rPr>
              <w:t xml:space="preserve">Requirement 3: Students must only provide patient care in an environment which is safe and appropriate. The provider must comply with relevant legislation and requirements regarding patient care, including equality and diversity, wherever treatment takes place. </w:t>
            </w:r>
            <w:r w:rsidRPr="00812B85">
              <w:rPr>
                <w:rFonts w:ascii="Arial" w:eastAsia="Calibri" w:hAnsi="Arial" w:cs="Arial"/>
                <w:b/>
                <w:i/>
                <w:color w:val="000000" w:themeColor="text1"/>
              </w:rPr>
              <w:t>(Requirement Met)</w:t>
            </w:r>
          </w:p>
          <w:p w14:paraId="79B38032" w14:textId="77777777" w:rsidR="00E2148E" w:rsidRDefault="00E2148E" w:rsidP="00A759EC">
            <w:pPr>
              <w:tabs>
                <w:tab w:val="left" w:pos="720"/>
                <w:tab w:val="left" w:pos="9214"/>
              </w:tabs>
              <w:ind w:left="357" w:right="2789" w:hanging="357"/>
              <w:rPr>
                <w:rFonts w:ascii="Arial" w:eastAsia="Calibri" w:hAnsi="Arial" w:cs="Arial"/>
                <w:color w:val="000000" w:themeColor="text1"/>
              </w:rPr>
            </w:pPr>
          </w:p>
          <w:p w14:paraId="005DA9CA" w14:textId="2F466F9E" w:rsidR="009B7116" w:rsidRDefault="00B1425D" w:rsidP="009B7116">
            <w:pPr>
              <w:tabs>
                <w:tab w:val="left" w:pos="720"/>
                <w:tab w:val="left" w:pos="9214"/>
              </w:tabs>
              <w:ind w:firstLine="22"/>
              <w:rPr>
                <w:rFonts w:ascii="Arial" w:eastAsia="Calibri" w:hAnsi="Arial" w:cs="Arial"/>
                <w:color w:val="000000" w:themeColor="text1"/>
              </w:rPr>
            </w:pPr>
            <w:r>
              <w:rPr>
                <w:rFonts w:ascii="Arial" w:eastAsia="Calibri" w:hAnsi="Arial" w:cs="Arial"/>
                <w:color w:val="000000" w:themeColor="text1"/>
              </w:rPr>
              <w:t xml:space="preserve">Students provide </w:t>
            </w:r>
            <w:proofErr w:type="gramStart"/>
            <w:r>
              <w:rPr>
                <w:rFonts w:ascii="Arial" w:eastAsia="Calibri" w:hAnsi="Arial" w:cs="Arial"/>
                <w:color w:val="000000" w:themeColor="text1"/>
              </w:rPr>
              <w:t>the vast majority of</w:t>
            </w:r>
            <w:proofErr w:type="gramEnd"/>
            <w:r>
              <w:rPr>
                <w:rFonts w:ascii="Arial" w:eastAsia="Calibri" w:hAnsi="Arial" w:cs="Arial"/>
                <w:color w:val="000000" w:themeColor="text1"/>
              </w:rPr>
              <w:t xml:space="preserve"> care in the University-based dental clinics. These are operated and staffed by the University and have a Health &amp; Safety Officer</w:t>
            </w:r>
            <w:r w:rsidR="004E67B3">
              <w:rPr>
                <w:rFonts w:ascii="Arial" w:eastAsia="Calibri" w:hAnsi="Arial" w:cs="Arial"/>
                <w:color w:val="000000" w:themeColor="text1"/>
              </w:rPr>
              <w:t xml:space="preserve">. </w:t>
            </w:r>
            <w:r w:rsidR="004E7320">
              <w:rPr>
                <w:rFonts w:ascii="Arial" w:eastAsia="Calibri" w:hAnsi="Arial" w:cs="Arial"/>
                <w:color w:val="000000" w:themeColor="text1"/>
              </w:rPr>
              <w:t xml:space="preserve">A full range of clinical policies were </w:t>
            </w:r>
            <w:r w:rsidR="0093315A">
              <w:rPr>
                <w:rFonts w:ascii="Arial" w:eastAsia="Calibri" w:hAnsi="Arial" w:cs="Arial"/>
                <w:color w:val="000000" w:themeColor="text1"/>
              </w:rPr>
              <w:t>evidenced,</w:t>
            </w:r>
            <w:r w:rsidR="004E7320">
              <w:rPr>
                <w:rFonts w:ascii="Arial" w:eastAsia="Calibri" w:hAnsi="Arial" w:cs="Arial"/>
                <w:color w:val="000000" w:themeColor="text1"/>
              </w:rPr>
              <w:t xml:space="preserve"> and a staff “huddle” was observed whereby key pieces of information about the clinic are imparted to students and staff alike. </w:t>
            </w:r>
            <w:r w:rsidR="00350EBF">
              <w:rPr>
                <w:rFonts w:ascii="Arial" w:eastAsia="Calibri" w:hAnsi="Arial" w:cs="Arial"/>
                <w:color w:val="000000" w:themeColor="text1"/>
              </w:rPr>
              <w:t xml:space="preserve">The Dental Academy holds </w:t>
            </w:r>
            <w:r w:rsidR="00812B85">
              <w:rPr>
                <w:rFonts w:ascii="Arial" w:eastAsia="Calibri" w:hAnsi="Arial" w:cs="Arial"/>
                <w:color w:val="000000" w:themeColor="text1"/>
              </w:rPr>
              <w:t>its</w:t>
            </w:r>
            <w:r w:rsidR="00350EBF">
              <w:rPr>
                <w:rFonts w:ascii="Arial" w:eastAsia="Calibri" w:hAnsi="Arial" w:cs="Arial"/>
                <w:color w:val="000000" w:themeColor="text1"/>
              </w:rPr>
              <w:t xml:space="preserve"> own incident database</w:t>
            </w:r>
            <w:r w:rsidR="00812B85">
              <w:rPr>
                <w:rFonts w:ascii="Arial" w:eastAsia="Calibri" w:hAnsi="Arial" w:cs="Arial"/>
                <w:color w:val="000000" w:themeColor="text1"/>
              </w:rPr>
              <w:t xml:space="preserve"> which is supported by a comprehensive governance framework.</w:t>
            </w:r>
            <w:r w:rsidR="009B7116">
              <w:rPr>
                <w:rFonts w:ascii="Arial" w:eastAsia="Calibri" w:hAnsi="Arial" w:cs="Arial"/>
                <w:color w:val="000000" w:themeColor="text1"/>
              </w:rPr>
              <w:t xml:space="preserve"> The full range of clinical policies were available and reviewed by the panel.</w:t>
            </w:r>
          </w:p>
          <w:p w14:paraId="76E6EA11" w14:textId="77777777" w:rsidR="009B7116" w:rsidRDefault="009B7116" w:rsidP="004E7320">
            <w:pPr>
              <w:tabs>
                <w:tab w:val="left" w:pos="720"/>
                <w:tab w:val="left" w:pos="9214"/>
              </w:tabs>
              <w:ind w:firstLine="22"/>
              <w:rPr>
                <w:rFonts w:ascii="Arial" w:eastAsia="Calibri" w:hAnsi="Arial" w:cs="Arial"/>
                <w:color w:val="000000" w:themeColor="text1"/>
              </w:rPr>
            </w:pPr>
          </w:p>
          <w:p w14:paraId="2A7F123A" w14:textId="33139F0D" w:rsidR="00812B85" w:rsidRDefault="00812B85" w:rsidP="004E7320">
            <w:pPr>
              <w:tabs>
                <w:tab w:val="left" w:pos="720"/>
                <w:tab w:val="left" w:pos="9214"/>
              </w:tabs>
              <w:ind w:firstLine="22"/>
              <w:rPr>
                <w:rFonts w:ascii="Arial" w:eastAsia="Calibri" w:hAnsi="Arial" w:cs="Arial"/>
                <w:color w:val="000000" w:themeColor="text1"/>
              </w:rPr>
            </w:pPr>
            <w:r>
              <w:rPr>
                <w:rFonts w:ascii="Arial" w:eastAsia="Calibri" w:hAnsi="Arial" w:cs="Arial"/>
                <w:color w:val="000000" w:themeColor="text1"/>
              </w:rPr>
              <w:t>The Requirement was found to be met.</w:t>
            </w:r>
          </w:p>
          <w:p w14:paraId="748CB55C" w14:textId="77777777" w:rsidR="00506C6C" w:rsidRDefault="00506C6C" w:rsidP="00A759EC">
            <w:pPr>
              <w:tabs>
                <w:tab w:val="left" w:pos="720"/>
                <w:tab w:val="left" w:pos="9214"/>
              </w:tabs>
              <w:ind w:left="357" w:right="2789" w:hanging="357"/>
              <w:rPr>
                <w:rFonts w:ascii="Arial" w:eastAsia="Calibri" w:hAnsi="Arial" w:cs="Arial"/>
                <w:color w:val="000000" w:themeColor="text1"/>
              </w:rPr>
            </w:pPr>
          </w:p>
          <w:p w14:paraId="3BF3C468" w14:textId="77777777" w:rsidR="009D3FF5" w:rsidRPr="0084743E" w:rsidRDefault="009D3FF5" w:rsidP="00A759EC">
            <w:pPr>
              <w:tabs>
                <w:tab w:val="left" w:pos="720"/>
                <w:tab w:val="left" w:pos="9214"/>
              </w:tabs>
              <w:ind w:left="357" w:right="2789" w:hanging="357"/>
              <w:rPr>
                <w:rFonts w:ascii="Arial" w:eastAsia="Calibri" w:hAnsi="Arial" w:cs="Arial"/>
                <w:color w:val="000000" w:themeColor="text1"/>
              </w:rPr>
            </w:pPr>
          </w:p>
          <w:p w14:paraId="7649FE10" w14:textId="0E8BADA1" w:rsidR="00E2148E" w:rsidRPr="0084743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4: When providing patient care and services, providers must ensure that students are supervised appropriately according to the activity and the student’s stage of development. </w:t>
            </w:r>
            <w:r w:rsidRPr="0007644E">
              <w:rPr>
                <w:rFonts w:ascii="Arial" w:eastAsia="Calibri" w:hAnsi="Arial" w:cs="Arial"/>
                <w:b/>
                <w:i/>
                <w:color w:val="000000" w:themeColor="text1"/>
              </w:rPr>
              <w:t>(Requirement</w:t>
            </w:r>
            <w:r w:rsidR="004A6178" w:rsidRPr="0007644E">
              <w:rPr>
                <w:rFonts w:ascii="Arial" w:eastAsia="Calibri" w:hAnsi="Arial" w:cs="Arial"/>
                <w:b/>
                <w:i/>
                <w:color w:val="000000" w:themeColor="text1"/>
              </w:rPr>
              <w:t xml:space="preserve"> </w:t>
            </w:r>
            <w:r w:rsidR="003835BD" w:rsidRPr="0007644E">
              <w:rPr>
                <w:rFonts w:ascii="Arial" w:eastAsia="Calibri" w:hAnsi="Arial" w:cs="Arial"/>
                <w:b/>
                <w:i/>
                <w:color w:val="000000" w:themeColor="text1"/>
              </w:rPr>
              <w:t>Met</w:t>
            </w:r>
            <w:r w:rsidRPr="0007644E">
              <w:rPr>
                <w:rFonts w:ascii="Arial" w:eastAsia="Calibri" w:hAnsi="Arial" w:cs="Arial"/>
                <w:b/>
                <w:i/>
                <w:color w:val="000000" w:themeColor="text1"/>
              </w:rPr>
              <w:t>)</w:t>
            </w:r>
          </w:p>
          <w:p w14:paraId="0FA4AE6A" w14:textId="05853240" w:rsidR="00E2148E" w:rsidRDefault="00E2148E" w:rsidP="00A759EC">
            <w:pPr>
              <w:tabs>
                <w:tab w:val="left" w:pos="720"/>
                <w:tab w:val="left" w:pos="9214"/>
              </w:tabs>
              <w:ind w:right="34"/>
              <w:rPr>
                <w:rFonts w:ascii="Arial" w:eastAsia="Calibri" w:hAnsi="Arial" w:cs="Arial"/>
                <w:color w:val="000000" w:themeColor="text1"/>
              </w:rPr>
            </w:pPr>
          </w:p>
          <w:p w14:paraId="4B20B6D4" w14:textId="55DEC5A5" w:rsidR="00812B85" w:rsidRDefault="730A935A" w:rsidP="00A759EC">
            <w:pPr>
              <w:tabs>
                <w:tab w:val="left" w:pos="720"/>
                <w:tab w:val="left" w:pos="9214"/>
              </w:tabs>
              <w:ind w:right="34"/>
              <w:rPr>
                <w:rFonts w:ascii="Arial" w:eastAsia="Calibri" w:hAnsi="Arial" w:cs="Arial"/>
                <w:color w:val="000000" w:themeColor="text1"/>
              </w:rPr>
            </w:pPr>
            <w:r w:rsidRPr="7480ADA0">
              <w:rPr>
                <w:rFonts w:ascii="Arial" w:eastAsia="Calibri" w:hAnsi="Arial" w:cs="Arial"/>
                <w:color w:val="000000" w:themeColor="text1"/>
              </w:rPr>
              <w:lastRenderedPageBreak/>
              <w:t xml:space="preserve">The standard </w:t>
            </w:r>
            <w:r w:rsidR="28D1ED0F" w:rsidRPr="7480ADA0">
              <w:rPr>
                <w:rFonts w:ascii="Arial" w:eastAsia="Calibri" w:hAnsi="Arial" w:cs="Arial"/>
                <w:color w:val="000000" w:themeColor="text1"/>
              </w:rPr>
              <w:t>staff</w:t>
            </w:r>
            <w:r w:rsidR="006F2108">
              <w:rPr>
                <w:rFonts w:ascii="Arial" w:eastAsia="Calibri" w:hAnsi="Arial" w:cs="Arial"/>
                <w:color w:val="000000" w:themeColor="text1"/>
              </w:rPr>
              <w:t>-to-</w:t>
            </w:r>
            <w:r w:rsidR="28D1ED0F" w:rsidRPr="7480ADA0">
              <w:rPr>
                <w:rFonts w:ascii="Arial" w:eastAsia="Calibri" w:hAnsi="Arial" w:cs="Arial"/>
                <w:color w:val="000000" w:themeColor="text1"/>
              </w:rPr>
              <w:t>student</w:t>
            </w:r>
            <w:r w:rsidRPr="7480ADA0">
              <w:rPr>
                <w:rFonts w:ascii="Arial" w:eastAsia="Calibri" w:hAnsi="Arial" w:cs="Arial"/>
                <w:color w:val="000000" w:themeColor="text1"/>
              </w:rPr>
              <w:t xml:space="preserve"> ratio at the Dental Academy is 1:6, </w:t>
            </w:r>
            <w:r w:rsidR="6B9CF39C" w:rsidRPr="7480ADA0">
              <w:rPr>
                <w:rFonts w:ascii="Arial" w:eastAsia="Calibri" w:hAnsi="Arial" w:cs="Arial"/>
                <w:color w:val="000000" w:themeColor="text1"/>
              </w:rPr>
              <w:t>with less experienced students often working within a 1:4 ratio.</w:t>
            </w:r>
            <w:r w:rsidR="6BF37993" w:rsidRPr="7480ADA0">
              <w:rPr>
                <w:rFonts w:ascii="Arial" w:eastAsia="Calibri" w:hAnsi="Arial" w:cs="Arial"/>
                <w:color w:val="000000" w:themeColor="text1"/>
              </w:rPr>
              <w:t xml:space="preserve"> Ratios are monitored at every clinical session with sessions being partially re-timetabled if the ratio cannot be maintained. Students described a sliding scale of supervision whereby they are supervised </w:t>
            </w:r>
            <w:r w:rsidR="681015C6" w:rsidRPr="7480ADA0">
              <w:rPr>
                <w:rFonts w:ascii="Arial" w:eastAsia="Calibri" w:hAnsi="Arial" w:cs="Arial"/>
                <w:color w:val="000000" w:themeColor="text1"/>
              </w:rPr>
              <w:t>more at the beginning of the course than at the end.</w:t>
            </w:r>
          </w:p>
          <w:p w14:paraId="0EB40345" w14:textId="77777777" w:rsidR="005921A0" w:rsidRDefault="005921A0" w:rsidP="00A759EC">
            <w:pPr>
              <w:tabs>
                <w:tab w:val="left" w:pos="720"/>
                <w:tab w:val="left" w:pos="9214"/>
              </w:tabs>
              <w:ind w:right="34"/>
              <w:rPr>
                <w:rFonts w:ascii="Arial" w:eastAsia="Calibri" w:hAnsi="Arial" w:cs="Arial"/>
                <w:color w:val="000000" w:themeColor="text1"/>
              </w:rPr>
            </w:pPr>
          </w:p>
          <w:p w14:paraId="0ED9DF88" w14:textId="3F4A1063" w:rsidR="005921A0" w:rsidRDefault="005921A0" w:rsidP="00A759EC">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Clinical module coordinators hold the responsibility of informing clinical supervisors of the </w:t>
            </w:r>
            <w:r w:rsidR="006E5709">
              <w:rPr>
                <w:rFonts w:ascii="Arial" w:eastAsia="Calibri" w:hAnsi="Arial" w:cs="Arial"/>
                <w:color w:val="000000" w:themeColor="text1"/>
              </w:rPr>
              <w:t xml:space="preserve">progress of student groups and what expectations should be in place. This ensures that supervisors </w:t>
            </w:r>
            <w:r w:rsidR="00295F68">
              <w:rPr>
                <w:rFonts w:ascii="Arial" w:eastAsia="Calibri" w:hAnsi="Arial" w:cs="Arial"/>
                <w:color w:val="000000" w:themeColor="text1"/>
              </w:rPr>
              <w:t>are aware of the level of supervision required at every session.</w:t>
            </w:r>
            <w:r w:rsidR="0007644E">
              <w:rPr>
                <w:rFonts w:ascii="Arial" w:eastAsia="Calibri" w:hAnsi="Arial" w:cs="Arial"/>
                <w:color w:val="000000" w:themeColor="text1"/>
              </w:rPr>
              <w:t xml:space="preserve"> </w:t>
            </w:r>
          </w:p>
          <w:p w14:paraId="285DBA36" w14:textId="77777777" w:rsidR="00295F68" w:rsidRDefault="00295F68" w:rsidP="00A759EC">
            <w:pPr>
              <w:tabs>
                <w:tab w:val="left" w:pos="720"/>
                <w:tab w:val="left" w:pos="9214"/>
              </w:tabs>
              <w:ind w:right="34"/>
              <w:rPr>
                <w:rFonts w:ascii="Arial" w:eastAsia="Calibri" w:hAnsi="Arial" w:cs="Arial"/>
                <w:color w:val="000000" w:themeColor="text1"/>
              </w:rPr>
            </w:pPr>
          </w:p>
          <w:p w14:paraId="351E8B8F" w14:textId="101BFB3D" w:rsidR="00295F68" w:rsidRDefault="63224FE5" w:rsidP="00A759EC">
            <w:pPr>
              <w:tabs>
                <w:tab w:val="left" w:pos="720"/>
                <w:tab w:val="left" w:pos="9214"/>
              </w:tabs>
              <w:ind w:right="34"/>
              <w:rPr>
                <w:rFonts w:ascii="Arial" w:eastAsia="Calibri" w:hAnsi="Arial" w:cs="Arial"/>
                <w:color w:val="000000" w:themeColor="text1"/>
              </w:rPr>
            </w:pPr>
            <w:r w:rsidRPr="7480ADA0">
              <w:rPr>
                <w:rFonts w:ascii="Arial" w:eastAsia="Calibri" w:hAnsi="Arial" w:cs="Arial"/>
                <w:color w:val="000000" w:themeColor="text1"/>
              </w:rPr>
              <w:t xml:space="preserve">The programme </w:t>
            </w:r>
            <w:r w:rsidR="079BBA23" w:rsidRPr="7480ADA0">
              <w:rPr>
                <w:rFonts w:ascii="Arial" w:eastAsia="Calibri" w:hAnsi="Arial" w:cs="Arial"/>
                <w:color w:val="000000" w:themeColor="text1"/>
              </w:rPr>
              <w:t xml:space="preserve">benefits from utilising tailor-made clinics that are designed for the supervision of students. </w:t>
            </w:r>
            <w:r w:rsidR="7C1749AB" w:rsidRPr="7480ADA0">
              <w:rPr>
                <w:rFonts w:ascii="Arial" w:eastAsia="Calibri" w:hAnsi="Arial" w:cs="Arial"/>
                <w:color w:val="000000" w:themeColor="text1"/>
              </w:rPr>
              <w:t xml:space="preserve">One clinic has walled in bays to mimic the experience of working in a </w:t>
            </w:r>
            <w:r w:rsidR="6420B754" w:rsidRPr="7480ADA0">
              <w:rPr>
                <w:rFonts w:ascii="Arial" w:eastAsia="Calibri" w:hAnsi="Arial" w:cs="Arial"/>
                <w:color w:val="000000" w:themeColor="text1"/>
              </w:rPr>
              <w:t>practice,</w:t>
            </w:r>
            <w:r w:rsidR="7C1749AB" w:rsidRPr="7480ADA0">
              <w:rPr>
                <w:rFonts w:ascii="Arial" w:eastAsia="Calibri" w:hAnsi="Arial" w:cs="Arial"/>
                <w:color w:val="000000" w:themeColor="text1"/>
              </w:rPr>
              <w:t xml:space="preserve"> but </w:t>
            </w:r>
            <w:r w:rsidR="012AF9A9" w:rsidRPr="7480ADA0">
              <w:rPr>
                <w:rFonts w:ascii="Arial" w:eastAsia="Calibri" w:hAnsi="Arial" w:cs="Arial"/>
                <w:color w:val="000000" w:themeColor="text1"/>
              </w:rPr>
              <w:t xml:space="preserve">the school have ensured that the walls include a large amount of glazing so that supervisors can see what students are doing </w:t>
            </w:r>
            <w:bookmarkStart w:id="0" w:name="_Int_5xOpLDXp"/>
            <w:proofErr w:type="gramStart"/>
            <w:r w:rsidR="012AF9A9" w:rsidRPr="7480ADA0">
              <w:rPr>
                <w:rFonts w:ascii="Arial" w:eastAsia="Calibri" w:hAnsi="Arial" w:cs="Arial"/>
                <w:color w:val="000000" w:themeColor="text1"/>
              </w:rPr>
              <w:t>at a glance</w:t>
            </w:r>
            <w:bookmarkEnd w:id="0"/>
            <w:proofErr w:type="gramEnd"/>
            <w:r w:rsidR="012AF9A9" w:rsidRPr="7480ADA0">
              <w:rPr>
                <w:rFonts w:ascii="Arial" w:eastAsia="Calibri" w:hAnsi="Arial" w:cs="Arial"/>
                <w:color w:val="000000" w:themeColor="text1"/>
              </w:rPr>
              <w:t>.</w:t>
            </w:r>
          </w:p>
          <w:p w14:paraId="06AD51B1" w14:textId="77777777" w:rsidR="00812B85" w:rsidRDefault="00812B85" w:rsidP="00A759EC">
            <w:pPr>
              <w:tabs>
                <w:tab w:val="left" w:pos="720"/>
                <w:tab w:val="left" w:pos="9214"/>
              </w:tabs>
              <w:ind w:right="34"/>
              <w:rPr>
                <w:rFonts w:ascii="Arial" w:eastAsia="Calibri" w:hAnsi="Arial" w:cs="Arial"/>
                <w:color w:val="000000" w:themeColor="text1"/>
              </w:rPr>
            </w:pPr>
          </w:p>
          <w:p w14:paraId="5C4534DF" w14:textId="575BD87A" w:rsidR="0007644E" w:rsidRDefault="0007644E" w:rsidP="00A759EC">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Requirement is met.</w:t>
            </w:r>
          </w:p>
          <w:p w14:paraId="2513A543" w14:textId="77777777" w:rsidR="0007644E" w:rsidRDefault="0007644E" w:rsidP="00A759EC">
            <w:pPr>
              <w:tabs>
                <w:tab w:val="left" w:pos="720"/>
                <w:tab w:val="left" w:pos="9214"/>
              </w:tabs>
              <w:ind w:right="34"/>
              <w:rPr>
                <w:rFonts w:ascii="Arial" w:eastAsia="Calibri" w:hAnsi="Arial" w:cs="Arial"/>
                <w:color w:val="000000" w:themeColor="text1"/>
              </w:rPr>
            </w:pPr>
          </w:p>
          <w:p w14:paraId="68BBA9E5" w14:textId="77777777" w:rsidR="00506C6C" w:rsidRPr="0084743E" w:rsidRDefault="00506C6C" w:rsidP="00A759EC">
            <w:pPr>
              <w:tabs>
                <w:tab w:val="left" w:pos="720"/>
                <w:tab w:val="left" w:pos="9214"/>
              </w:tabs>
              <w:ind w:right="34"/>
              <w:rPr>
                <w:rFonts w:ascii="Arial" w:eastAsia="Calibri" w:hAnsi="Arial" w:cs="Arial"/>
                <w:color w:val="000000" w:themeColor="text1"/>
              </w:rPr>
            </w:pPr>
          </w:p>
          <w:p w14:paraId="64EAAC62" w14:textId="60F59FAC" w:rsidR="00E2148E" w:rsidRPr="0084743E" w:rsidRDefault="00E2148E" w:rsidP="00A759EC">
            <w:pPr>
              <w:tabs>
                <w:tab w:val="left" w:pos="720"/>
                <w:tab w:val="left" w:pos="9214"/>
              </w:tabs>
              <w:rPr>
                <w:rFonts w:ascii="Arial" w:eastAsia="Calibri" w:hAnsi="Arial" w:cs="Arial"/>
                <w:b/>
                <w:color w:val="000000" w:themeColor="text1"/>
              </w:rPr>
            </w:pPr>
            <w:r w:rsidRPr="0084743E">
              <w:rPr>
                <w:rFonts w:ascii="Arial" w:eastAsia="Calibri" w:hAnsi="Arial" w:cs="Arial"/>
                <w:b/>
                <w:color w:val="000000" w:themeColor="text1"/>
              </w:rPr>
              <w:t xml:space="preserve">Requirement 5: Supervisors must be appropriately qualified and trained. This should include training in equality and diversity legislation relevant for the role. Clinical supervisors must have appropriate general or specialist registration with a UK regulatory body. </w:t>
            </w:r>
            <w:r w:rsidRPr="00CA113B">
              <w:rPr>
                <w:rFonts w:ascii="Arial" w:eastAsia="Calibri" w:hAnsi="Arial" w:cs="Arial"/>
                <w:b/>
                <w:i/>
                <w:color w:val="000000" w:themeColor="text1"/>
              </w:rPr>
              <w:t xml:space="preserve">(Requirement </w:t>
            </w:r>
            <w:r w:rsidR="00527931" w:rsidRPr="00CA113B">
              <w:rPr>
                <w:rFonts w:ascii="Arial" w:eastAsia="Calibri" w:hAnsi="Arial" w:cs="Arial"/>
                <w:b/>
                <w:i/>
                <w:color w:val="000000" w:themeColor="text1"/>
              </w:rPr>
              <w:t>Met</w:t>
            </w:r>
            <w:r w:rsidRPr="00CA113B">
              <w:rPr>
                <w:rFonts w:ascii="Arial" w:eastAsia="Calibri" w:hAnsi="Arial" w:cs="Arial"/>
                <w:b/>
                <w:i/>
                <w:color w:val="000000" w:themeColor="text1"/>
              </w:rPr>
              <w:t>)</w:t>
            </w:r>
          </w:p>
          <w:p w14:paraId="4D764959" w14:textId="1B7F0048" w:rsidR="4FDB66F0" w:rsidRDefault="4FDB66F0" w:rsidP="4F66433A">
            <w:pPr>
              <w:tabs>
                <w:tab w:val="left" w:pos="720"/>
                <w:tab w:val="left" w:pos="9214"/>
                <w:tab w:val="left" w:pos="9248"/>
              </w:tabs>
              <w:ind w:right="34"/>
              <w:jc w:val="both"/>
              <w:rPr>
                <w:rFonts w:ascii="Arial" w:eastAsia="Calibri" w:hAnsi="Arial" w:cs="Arial"/>
                <w:color w:val="000000" w:themeColor="text1"/>
              </w:rPr>
            </w:pPr>
          </w:p>
          <w:p w14:paraId="75A00672" w14:textId="7838DB7C" w:rsidR="61D39030" w:rsidRDefault="03E4D32D" w:rsidP="00077D94">
            <w:pPr>
              <w:rPr>
                <w:rFonts w:ascii="Arial" w:eastAsia="Arial" w:hAnsi="Arial" w:cs="Arial"/>
              </w:rPr>
            </w:pPr>
            <w:r w:rsidRPr="7480ADA0">
              <w:rPr>
                <w:rFonts w:ascii="Arial" w:eastAsia="Arial" w:hAnsi="Arial" w:cs="Arial"/>
              </w:rPr>
              <w:t>All supervising staff members are registered with the GDC and have received appropriate training prior to undertaking supervisory duties with students.</w:t>
            </w:r>
            <w:r w:rsidR="29A1805E" w:rsidRPr="7480ADA0">
              <w:rPr>
                <w:rFonts w:ascii="Arial" w:eastAsia="Arial" w:hAnsi="Arial" w:cs="Arial"/>
              </w:rPr>
              <w:t xml:space="preserve"> </w:t>
            </w:r>
            <w:r w:rsidRPr="7480ADA0">
              <w:rPr>
                <w:rFonts w:ascii="Arial" w:eastAsia="Arial" w:hAnsi="Arial" w:cs="Arial"/>
              </w:rPr>
              <w:t>Upon commencement of employment, all staff members undergo an induction process that introduces them to the Dental Academy and the clinical environment. They are advised to collaborate with the module coordinator to ensure they provide supervision, guidance, and feedback appropriate to the students' stage of academic progress.</w:t>
            </w:r>
            <w:r w:rsidR="006F2108">
              <w:rPr>
                <w:rFonts w:ascii="Arial" w:eastAsia="Arial" w:hAnsi="Arial" w:cs="Arial"/>
              </w:rPr>
              <w:t xml:space="preserve"> Feedback to students is considered at multiple points through the operation of the quality management framework, not least at key progression points, so the quality of the feedback can be addressed if necessary. Additionally, the students reported feeling comfortable to speak to staff about their feedback should they not agree with this or require more detail.</w:t>
            </w:r>
          </w:p>
          <w:p w14:paraId="24A69CD9" w14:textId="77777777" w:rsidR="00077D94" w:rsidRDefault="00077D94" w:rsidP="00077D94">
            <w:pPr>
              <w:rPr>
                <w:rFonts w:ascii="Arial" w:eastAsia="Arial" w:hAnsi="Arial" w:cs="Arial"/>
              </w:rPr>
            </w:pPr>
          </w:p>
          <w:p w14:paraId="0B30F7F1" w14:textId="7879CB4C" w:rsidR="61D39030" w:rsidRDefault="61D39030" w:rsidP="00077D94">
            <w:pPr>
              <w:rPr>
                <w:rFonts w:ascii="Arial" w:eastAsia="Arial" w:hAnsi="Arial" w:cs="Arial"/>
              </w:rPr>
            </w:pPr>
            <w:r w:rsidRPr="4F66433A">
              <w:rPr>
                <w:rFonts w:ascii="Arial" w:eastAsia="Arial" w:hAnsi="Arial" w:cs="Arial"/>
              </w:rPr>
              <w:t xml:space="preserve">Information regarding staff certifications and evidence of Continuing Professional Development (CPD) is collected annually and maintained in staff records. </w:t>
            </w:r>
          </w:p>
          <w:p w14:paraId="6172C716" w14:textId="77777777" w:rsidR="00077D94" w:rsidRDefault="00077D94" w:rsidP="00077D94">
            <w:pPr>
              <w:rPr>
                <w:rFonts w:ascii="Arial" w:eastAsia="Arial" w:hAnsi="Arial" w:cs="Arial"/>
              </w:rPr>
            </w:pPr>
          </w:p>
          <w:p w14:paraId="1D33073C" w14:textId="13DE0399" w:rsidR="61D39030" w:rsidRDefault="61D39030" w:rsidP="00077D94">
            <w:pPr>
              <w:rPr>
                <w:rFonts w:ascii="Arial" w:eastAsia="Arial" w:hAnsi="Arial" w:cs="Arial"/>
              </w:rPr>
            </w:pPr>
            <w:r w:rsidRPr="4F66433A">
              <w:rPr>
                <w:rFonts w:ascii="Arial" w:eastAsia="Arial" w:hAnsi="Arial" w:cs="Arial"/>
              </w:rPr>
              <w:t xml:space="preserve">After reviewing the </w:t>
            </w:r>
            <w:r w:rsidR="73B850A1" w:rsidRPr="4F66433A">
              <w:rPr>
                <w:rFonts w:ascii="Arial" w:eastAsia="Arial" w:hAnsi="Arial" w:cs="Arial"/>
              </w:rPr>
              <w:t>evidence,</w:t>
            </w:r>
            <w:r w:rsidRPr="4F66433A">
              <w:rPr>
                <w:rFonts w:ascii="Arial" w:eastAsia="Arial" w:hAnsi="Arial" w:cs="Arial"/>
              </w:rPr>
              <w:t xml:space="preserve"> the panel deem this </w:t>
            </w:r>
            <w:r w:rsidR="00077D94">
              <w:rPr>
                <w:rFonts w:ascii="Arial" w:eastAsia="Arial" w:hAnsi="Arial" w:cs="Arial"/>
              </w:rPr>
              <w:t>R</w:t>
            </w:r>
            <w:r w:rsidRPr="4F66433A">
              <w:rPr>
                <w:rFonts w:ascii="Arial" w:eastAsia="Arial" w:hAnsi="Arial" w:cs="Arial"/>
              </w:rPr>
              <w:t>equirement to be met.</w:t>
            </w:r>
          </w:p>
          <w:p w14:paraId="0D10D156" w14:textId="77777777" w:rsidR="00506C6C" w:rsidRDefault="00506C6C" w:rsidP="00A759EC">
            <w:pPr>
              <w:tabs>
                <w:tab w:val="left" w:pos="720"/>
                <w:tab w:val="left" w:pos="9214"/>
                <w:tab w:val="left" w:pos="9248"/>
              </w:tabs>
              <w:ind w:right="34"/>
              <w:jc w:val="both"/>
              <w:rPr>
                <w:rFonts w:ascii="Arial" w:eastAsia="Calibri" w:hAnsi="Arial" w:cs="Arial"/>
                <w:color w:val="000000" w:themeColor="text1"/>
              </w:rPr>
            </w:pPr>
          </w:p>
          <w:p w14:paraId="12C47CB0" w14:textId="77777777" w:rsidR="00077D94" w:rsidRPr="0084743E" w:rsidRDefault="00077D94" w:rsidP="00A759EC">
            <w:pPr>
              <w:tabs>
                <w:tab w:val="left" w:pos="720"/>
                <w:tab w:val="left" w:pos="9214"/>
                <w:tab w:val="left" w:pos="9248"/>
              </w:tabs>
              <w:ind w:right="34"/>
              <w:jc w:val="both"/>
              <w:rPr>
                <w:rFonts w:ascii="Arial" w:eastAsia="Calibri" w:hAnsi="Arial" w:cs="Arial"/>
                <w:color w:val="000000" w:themeColor="text1"/>
              </w:rPr>
            </w:pPr>
          </w:p>
          <w:p w14:paraId="49435915" w14:textId="4B496DFA" w:rsidR="00E2148E" w:rsidRPr="0084743E" w:rsidRDefault="00E2148E" w:rsidP="00A759EC">
            <w:pPr>
              <w:tabs>
                <w:tab w:val="left" w:pos="720"/>
                <w:tab w:val="left" w:pos="9214"/>
              </w:tabs>
              <w:ind w:right="34"/>
              <w:rPr>
                <w:rFonts w:ascii="Arial" w:eastAsia="Calibri" w:hAnsi="Arial" w:cs="Arial"/>
                <w:b/>
                <w:color w:val="000000" w:themeColor="text1"/>
              </w:rPr>
            </w:pPr>
            <w:r w:rsidRPr="0084743E">
              <w:rPr>
                <w:rFonts w:ascii="Arial" w:eastAsia="Calibri" w:hAnsi="Arial" w:cs="Arial"/>
                <w:b/>
                <w:color w:val="000000" w:themeColor="text1"/>
              </w:rPr>
              <w:t xml:space="preserve">Requirement 6: Providers must ensure that students and all those involved in the delivery of education and training are aware of their obligation to raise concerns if they identify any risks to patient safety and the need for candour when things go wrong. Providers should publish policies so that it is clear to all parties how concerns should be raised and how these concerns will be acted upon. Providers must support those who do raise concerns and provide assurance that staff and students will not be penalised for doing so. </w:t>
            </w:r>
            <w:r w:rsidRPr="00CA113B">
              <w:rPr>
                <w:rFonts w:ascii="Arial" w:eastAsia="Calibri" w:hAnsi="Arial" w:cs="Arial"/>
                <w:b/>
                <w:i/>
                <w:color w:val="000000" w:themeColor="text1"/>
              </w:rPr>
              <w:t xml:space="preserve">(Requirement </w:t>
            </w:r>
            <w:r w:rsidR="00527931" w:rsidRPr="00CA113B">
              <w:rPr>
                <w:rFonts w:ascii="Arial" w:eastAsia="Calibri" w:hAnsi="Arial" w:cs="Arial"/>
                <w:b/>
                <w:i/>
                <w:color w:val="000000" w:themeColor="text1"/>
              </w:rPr>
              <w:t>Met</w:t>
            </w:r>
            <w:r w:rsidRPr="00CA113B">
              <w:rPr>
                <w:rFonts w:ascii="Arial" w:eastAsia="Calibri" w:hAnsi="Arial" w:cs="Arial"/>
                <w:b/>
                <w:i/>
                <w:color w:val="000000" w:themeColor="text1"/>
              </w:rPr>
              <w:t>)</w:t>
            </w:r>
          </w:p>
          <w:p w14:paraId="1BEF64C9" w14:textId="131C7EE9" w:rsidR="00506C6C" w:rsidRPr="0084743E" w:rsidRDefault="00506C6C" w:rsidP="4F66433A">
            <w:pPr>
              <w:tabs>
                <w:tab w:val="left" w:pos="720"/>
                <w:tab w:val="left" w:pos="9214"/>
              </w:tabs>
              <w:rPr>
                <w:rFonts w:ascii="Arial" w:eastAsia="Calibri" w:hAnsi="Arial" w:cs="Arial"/>
                <w:color w:val="000000" w:themeColor="text1"/>
              </w:rPr>
            </w:pPr>
          </w:p>
          <w:p w14:paraId="0433D513" w14:textId="1C0E9972" w:rsidR="00506C6C" w:rsidRDefault="6AC5E64A" w:rsidP="00077D94">
            <w:pPr>
              <w:rPr>
                <w:rFonts w:ascii="Arial" w:eastAsia="Arial" w:hAnsi="Arial" w:cs="Arial"/>
              </w:rPr>
            </w:pPr>
            <w:r w:rsidRPr="6D584785">
              <w:rPr>
                <w:rFonts w:ascii="Arial" w:eastAsia="Arial" w:hAnsi="Arial" w:cs="Arial"/>
              </w:rPr>
              <w:t xml:space="preserve">The Dental Academy has established comprehensive Raising Concerns and Whistleblowing policies to guide staff and students in addressing any issues. During induction, line managers will direct staff to these policies and offer opportunities for discussion. </w:t>
            </w:r>
          </w:p>
          <w:p w14:paraId="083EFA3F" w14:textId="77777777" w:rsidR="00077D94" w:rsidRPr="0084743E" w:rsidRDefault="00077D94" w:rsidP="00077D94">
            <w:pPr>
              <w:rPr>
                <w:rFonts w:ascii="Arial" w:eastAsia="Arial" w:hAnsi="Arial" w:cs="Arial"/>
              </w:rPr>
            </w:pPr>
          </w:p>
          <w:p w14:paraId="0FE4078D" w14:textId="550421EE" w:rsidR="00506C6C" w:rsidRDefault="6AC5E64A" w:rsidP="00077D94">
            <w:pPr>
              <w:rPr>
                <w:rFonts w:ascii="Arial" w:eastAsia="Arial" w:hAnsi="Arial" w:cs="Arial"/>
              </w:rPr>
            </w:pPr>
            <w:r w:rsidRPr="6D584785">
              <w:rPr>
                <w:rFonts w:ascii="Arial" w:eastAsia="Arial" w:hAnsi="Arial" w:cs="Arial"/>
              </w:rPr>
              <w:t xml:space="preserve">The Clinical Director and Associate Heads guide students to the </w:t>
            </w:r>
            <w:r w:rsidR="00077D94">
              <w:rPr>
                <w:rFonts w:ascii="Arial" w:eastAsia="Arial" w:hAnsi="Arial" w:cs="Arial"/>
              </w:rPr>
              <w:t>virtual learning environment,</w:t>
            </w:r>
            <w:r w:rsidRPr="6D584785">
              <w:rPr>
                <w:rFonts w:ascii="Arial" w:eastAsia="Arial" w:hAnsi="Arial" w:cs="Arial"/>
              </w:rPr>
              <w:t xml:space="preserve"> Moodle, which hosts a folder containing all policies and guidance notes. Students must read and self-certify their understanding of these policies; this is monitored by the administration </w:t>
            </w:r>
            <w:r w:rsidRPr="6D584785">
              <w:rPr>
                <w:rFonts w:ascii="Arial" w:eastAsia="Arial" w:hAnsi="Arial" w:cs="Arial"/>
              </w:rPr>
              <w:lastRenderedPageBreak/>
              <w:t>team. Non-compliance is reported to the Clinical Directors and/or Associate Heads for further investigation, with completion records maintained in the student file.</w:t>
            </w:r>
          </w:p>
          <w:p w14:paraId="3A9EB2A8" w14:textId="77777777" w:rsidR="00077D94" w:rsidRPr="0084743E" w:rsidRDefault="00077D94" w:rsidP="00077D94">
            <w:pPr>
              <w:rPr>
                <w:rFonts w:ascii="Arial" w:eastAsia="Arial" w:hAnsi="Arial" w:cs="Arial"/>
              </w:rPr>
            </w:pPr>
          </w:p>
          <w:p w14:paraId="0A7D8105" w14:textId="0FB613EB" w:rsidR="00506C6C" w:rsidRPr="0084743E" w:rsidRDefault="6AC5E64A" w:rsidP="00077D94">
            <w:pPr>
              <w:rPr>
                <w:rFonts w:ascii="Arial" w:eastAsia="Arial" w:hAnsi="Arial" w:cs="Arial"/>
              </w:rPr>
            </w:pPr>
            <w:r w:rsidRPr="6D584785">
              <w:rPr>
                <w:rFonts w:ascii="Arial" w:eastAsia="Arial" w:hAnsi="Arial" w:cs="Arial"/>
              </w:rPr>
              <w:t xml:space="preserve">The panel </w:t>
            </w:r>
            <w:r w:rsidR="00077D94">
              <w:rPr>
                <w:rFonts w:ascii="Arial" w:eastAsia="Arial" w:hAnsi="Arial" w:cs="Arial"/>
              </w:rPr>
              <w:t>found the</w:t>
            </w:r>
            <w:r w:rsidRPr="6D584785">
              <w:rPr>
                <w:rFonts w:ascii="Arial" w:eastAsia="Arial" w:hAnsi="Arial" w:cs="Arial"/>
              </w:rPr>
              <w:t xml:space="preserve"> </w:t>
            </w:r>
            <w:r w:rsidR="00077D94">
              <w:rPr>
                <w:rFonts w:ascii="Arial" w:eastAsia="Arial" w:hAnsi="Arial" w:cs="Arial"/>
              </w:rPr>
              <w:t>R</w:t>
            </w:r>
            <w:r w:rsidRPr="6D584785">
              <w:rPr>
                <w:rFonts w:ascii="Arial" w:eastAsia="Arial" w:hAnsi="Arial" w:cs="Arial"/>
              </w:rPr>
              <w:t xml:space="preserve">equirement </w:t>
            </w:r>
            <w:r w:rsidR="00077D94">
              <w:rPr>
                <w:rFonts w:ascii="Arial" w:eastAsia="Arial" w:hAnsi="Arial" w:cs="Arial"/>
              </w:rPr>
              <w:t>to be</w:t>
            </w:r>
            <w:r w:rsidRPr="6D584785">
              <w:rPr>
                <w:rFonts w:ascii="Arial" w:eastAsia="Arial" w:hAnsi="Arial" w:cs="Arial"/>
              </w:rPr>
              <w:t xml:space="preserve"> met.</w:t>
            </w:r>
          </w:p>
          <w:p w14:paraId="2B330077" w14:textId="13E70A52" w:rsidR="4F66433A" w:rsidRDefault="4F66433A" w:rsidP="4F66433A">
            <w:pPr>
              <w:tabs>
                <w:tab w:val="left" w:pos="720"/>
                <w:tab w:val="left" w:pos="9214"/>
              </w:tabs>
              <w:ind w:right="2789"/>
              <w:rPr>
                <w:rFonts w:ascii="Arial" w:eastAsia="Calibri" w:hAnsi="Arial" w:cs="Arial"/>
                <w:color w:val="000000" w:themeColor="text1"/>
              </w:rPr>
            </w:pPr>
          </w:p>
          <w:p w14:paraId="1731975D" w14:textId="77777777" w:rsidR="00077D94" w:rsidRDefault="00077D94" w:rsidP="4F66433A">
            <w:pPr>
              <w:tabs>
                <w:tab w:val="left" w:pos="720"/>
                <w:tab w:val="left" w:pos="9214"/>
              </w:tabs>
              <w:ind w:right="2789"/>
              <w:rPr>
                <w:rFonts w:ascii="Arial" w:eastAsia="Calibri" w:hAnsi="Arial" w:cs="Arial"/>
                <w:color w:val="000000" w:themeColor="text1"/>
              </w:rPr>
            </w:pPr>
          </w:p>
          <w:p w14:paraId="55CEB964" w14:textId="76A1E891" w:rsidR="00E2148E" w:rsidRPr="0084743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7: Systems must be in place to identify and record issues that may affect patient safety. Should a patient safety issue arise, appropriate action must be taken by the provider and where necessary the relevant regulatory body should be notified. </w:t>
            </w:r>
            <w:r w:rsidRPr="00CA113B">
              <w:rPr>
                <w:rFonts w:ascii="Arial" w:eastAsia="Calibri" w:hAnsi="Arial" w:cs="Arial"/>
                <w:b/>
                <w:i/>
                <w:color w:val="000000" w:themeColor="text1"/>
              </w:rPr>
              <w:t xml:space="preserve">(Requirement </w:t>
            </w:r>
            <w:r w:rsidR="00527931" w:rsidRPr="00CA113B">
              <w:rPr>
                <w:rFonts w:ascii="Arial" w:eastAsia="Calibri" w:hAnsi="Arial" w:cs="Arial"/>
                <w:b/>
                <w:i/>
                <w:color w:val="000000" w:themeColor="text1"/>
              </w:rPr>
              <w:t>Me</w:t>
            </w:r>
            <w:r w:rsidR="00F0618C" w:rsidRPr="00CA113B">
              <w:rPr>
                <w:rFonts w:ascii="Arial" w:eastAsia="Calibri" w:hAnsi="Arial" w:cs="Arial"/>
                <w:b/>
                <w:i/>
                <w:color w:val="000000" w:themeColor="text1"/>
              </w:rPr>
              <w:t>t</w:t>
            </w:r>
            <w:r w:rsidRPr="00CA113B">
              <w:rPr>
                <w:rFonts w:ascii="Arial" w:eastAsia="Calibri" w:hAnsi="Arial" w:cs="Arial"/>
                <w:b/>
                <w:i/>
                <w:color w:val="000000" w:themeColor="text1"/>
              </w:rPr>
              <w:t>)</w:t>
            </w:r>
          </w:p>
          <w:p w14:paraId="4BE03716" w14:textId="568A9655" w:rsidR="3C675824" w:rsidRDefault="3C675824" w:rsidP="6D584785">
            <w:pPr>
              <w:tabs>
                <w:tab w:val="left" w:pos="720"/>
                <w:tab w:val="left" w:pos="9214"/>
              </w:tabs>
              <w:ind w:right="2789"/>
              <w:rPr>
                <w:rFonts w:ascii="Arial" w:eastAsia="Calibri" w:hAnsi="Arial" w:cs="Arial"/>
                <w:color w:val="000000" w:themeColor="text1"/>
              </w:rPr>
            </w:pPr>
          </w:p>
          <w:p w14:paraId="76779A39" w14:textId="71209AFD" w:rsidR="00F0618C" w:rsidRDefault="5DF40E0D" w:rsidP="00077D94">
            <w:pPr>
              <w:rPr>
                <w:rFonts w:ascii="Arial" w:eastAsia="Arial" w:hAnsi="Arial" w:cs="Arial"/>
              </w:rPr>
            </w:pPr>
            <w:r w:rsidRPr="6D584785">
              <w:rPr>
                <w:rFonts w:ascii="Arial" w:eastAsia="Arial" w:hAnsi="Arial" w:cs="Arial"/>
              </w:rPr>
              <w:t xml:space="preserve">The Raising Concerns at </w:t>
            </w:r>
            <w:r w:rsidR="00CA113B">
              <w:rPr>
                <w:rFonts w:ascii="Arial" w:eastAsia="Arial" w:hAnsi="Arial" w:cs="Arial"/>
              </w:rPr>
              <w:t>U</w:t>
            </w:r>
            <w:r w:rsidRPr="6D584785">
              <w:rPr>
                <w:rFonts w:ascii="Arial" w:eastAsia="Arial" w:hAnsi="Arial" w:cs="Arial"/>
              </w:rPr>
              <w:t>PDA policy and the Incident Reporting Policy outlines procedures for reporting incidents, near misses, accidents, and serious or critical incidents related to patient safety. The University reviews all incidents, including trends during the departmental Health &amp; Safety (H&amp;S) and Clinical Governance meetings.</w:t>
            </w:r>
          </w:p>
          <w:p w14:paraId="62BC0130" w14:textId="77777777" w:rsidR="00077D94" w:rsidRPr="0084743E" w:rsidRDefault="00077D94" w:rsidP="00077D94"/>
          <w:p w14:paraId="239559A4" w14:textId="711F6B71" w:rsidR="00F0618C" w:rsidRDefault="5DF40E0D" w:rsidP="00077D94">
            <w:pPr>
              <w:rPr>
                <w:rFonts w:ascii="Arial" w:eastAsia="Arial" w:hAnsi="Arial" w:cs="Arial"/>
              </w:rPr>
            </w:pPr>
            <w:r w:rsidRPr="6D584785">
              <w:rPr>
                <w:rFonts w:ascii="Arial" w:eastAsia="Arial" w:hAnsi="Arial" w:cs="Arial"/>
              </w:rPr>
              <w:t xml:space="preserve">All reported incidents are directed by the department H&amp;S Officer to the appropriate senior member for action. The H&amp;S committee reports directly to the Clinical Committee and Departmental Executive Committee, where incidents and trends are analysed, and action plans are developed and disseminated. </w:t>
            </w:r>
          </w:p>
          <w:p w14:paraId="7F075EAF" w14:textId="77777777" w:rsidR="00077D94" w:rsidRPr="0084743E" w:rsidRDefault="00077D94" w:rsidP="00077D94"/>
          <w:p w14:paraId="2045AC78" w14:textId="03EE9910" w:rsidR="00F0618C" w:rsidRPr="0084743E" w:rsidRDefault="5DF40E0D" w:rsidP="00077D94">
            <w:pPr>
              <w:rPr>
                <w:rFonts w:ascii="Arial" w:eastAsia="Arial" w:hAnsi="Arial" w:cs="Arial"/>
              </w:rPr>
            </w:pPr>
            <w:r w:rsidRPr="6D584785">
              <w:rPr>
                <w:rFonts w:ascii="Arial" w:eastAsia="Arial" w:hAnsi="Arial" w:cs="Arial"/>
              </w:rPr>
              <w:t xml:space="preserve">Sufficient evidence has been presented to enable the panel to </w:t>
            </w:r>
            <w:r w:rsidR="00CA113B">
              <w:rPr>
                <w:rFonts w:ascii="Arial" w:eastAsia="Arial" w:hAnsi="Arial" w:cs="Arial"/>
              </w:rPr>
              <w:t>agree</w:t>
            </w:r>
            <w:r w:rsidRPr="6D584785">
              <w:rPr>
                <w:rFonts w:ascii="Arial" w:eastAsia="Arial" w:hAnsi="Arial" w:cs="Arial"/>
              </w:rPr>
              <w:t xml:space="preserve"> that this </w:t>
            </w:r>
            <w:r w:rsidR="00CA113B">
              <w:rPr>
                <w:rFonts w:ascii="Arial" w:eastAsia="Arial" w:hAnsi="Arial" w:cs="Arial"/>
              </w:rPr>
              <w:t>R</w:t>
            </w:r>
            <w:r w:rsidRPr="6D584785">
              <w:rPr>
                <w:rFonts w:ascii="Arial" w:eastAsia="Arial" w:hAnsi="Arial" w:cs="Arial"/>
              </w:rPr>
              <w:t xml:space="preserve">equirement has been </w:t>
            </w:r>
            <w:r w:rsidR="77AB5A42" w:rsidRPr="359BEEF5">
              <w:rPr>
                <w:rFonts w:ascii="Arial" w:eastAsia="Arial" w:hAnsi="Arial" w:cs="Arial"/>
              </w:rPr>
              <w:t>f</w:t>
            </w:r>
            <w:r w:rsidR="2E0E5222" w:rsidRPr="359BEEF5">
              <w:rPr>
                <w:rFonts w:ascii="Arial" w:eastAsia="Arial" w:hAnsi="Arial" w:cs="Arial"/>
              </w:rPr>
              <w:t>ully met</w:t>
            </w:r>
            <w:r w:rsidRPr="6D584785">
              <w:rPr>
                <w:rFonts w:ascii="Arial" w:eastAsia="Arial" w:hAnsi="Arial" w:cs="Arial"/>
              </w:rPr>
              <w:t>.</w:t>
            </w:r>
          </w:p>
          <w:p w14:paraId="1C0D8AF2" w14:textId="0E7305CE" w:rsidR="00F0618C" w:rsidRDefault="00F0618C" w:rsidP="00A759EC">
            <w:pPr>
              <w:tabs>
                <w:tab w:val="left" w:pos="720"/>
                <w:tab w:val="left" w:pos="9214"/>
              </w:tabs>
              <w:ind w:right="2789"/>
              <w:rPr>
                <w:rFonts w:ascii="Arial" w:eastAsia="Calibri" w:hAnsi="Arial" w:cs="Arial"/>
                <w:color w:val="000000" w:themeColor="text1"/>
              </w:rPr>
            </w:pPr>
          </w:p>
          <w:p w14:paraId="577AE299" w14:textId="77777777" w:rsidR="00146B8A" w:rsidRPr="0084743E" w:rsidRDefault="00146B8A" w:rsidP="00A759EC">
            <w:pPr>
              <w:tabs>
                <w:tab w:val="left" w:pos="720"/>
                <w:tab w:val="left" w:pos="9214"/>
              </w:tabs>
              <w:ind w:right="2789"/>
              <w:rPr>
                <w:rFonts w:ascii="Arial" w:eastAsia="Calibri" w:hAnsi="Arial" w:cs="Arial"/>
                <w:color w:val="000000" w:themeColor="text1"/>
              </w:rPr>
            </w:pPr>
          </w:p>
          <w:p w14:paraId="25F93F3D" w14:textId="43F80ED3" w:rsidR="00E2148E" w:rsidRPr="0084743E" w:rsidRDefault="00E2148E" w:rsidP="00A759EC">
            <w:pPr>
              <w:tabs>
                <w:tab w:val="left" w:pos="720"/>
                <w:tab w:val="left" w:pos="9214"/>
              </w:tabs>
              <w:rPr>
                <w:rFonts w:ascii="Arial" w:eastAsia="Calibri" w:hAnsi="Arial" w:cs="Arial"/>
                <w:b/>
                <w:color w:val="000000" w:themeColor="text1"/>
              </w:rPr>
            </w:pPr>
            <w:r w:rsidRPr="0084743E">
              <w:rPr>
                <w:rFonts w:ascii="Arial" w:eastAsia="Calibri" w:hAnsi="Arial" w:cs="Arial"/>
                <w:b/>
                <w:color w:val="000000" w:themeColor="text1"/>
              </w:rPr>
              <w:t xml:space="preserve">Requirement 8: Providers must have a student fitness to practise policy and apply as required. The content and significance of the student fitness to practise procedures must be conveyed to students and aligned to GDC Student Fitness to Practise Guidance. Staff involved in the delivery of the programme should be familiar with the GDC Student Fitness to Practise Guidance. Providers must also ensure that the GDC’s Standard for the Dental Team are embedded within student training. </w:t>
            </w:r>
            <w:r w:rsidRPr="00CA113B">
              <w:rPr>
                <w:rFonts w:ascii="Arial" w:eastAsia="Calibri" w:hAnsi="Arial" w:cs="Arial"/>
                <w:b/>
                <w:i/>
                <w:color w:val="000000" w:themeColor="text1"/>
              </w:rPr>
              <w:t>(Requirement Met)</w:t>
            </w:r>
          </w:p>
          <w:p w14:paraId="587EDDB5" w14:textId="169BC1D4" w:rsidR="6D584785" w:rsidRDefault="6D584785" w:rsidP="6D584785">
            <w:pPr>
              <w:tabs>
                <w:tab w:val="left" w:pos="9214"/>
              </w:tabs>
              <w:rPr>
                <w:rFonts w:ascii="Arial" w:eastAsia="Calibri" w:hAnsi="Arial" w:cs="Arial"/>
                <w:color w:val="000000" w:themeColor="text1"/>
              </w:rPr>
            </w:pPr>
          </w:p>
          <w:p w14:paraId="719EF768" w14:textId="21218234" w:rsidR="2998E2AC" w:rsidRDefault="2998E2AC" w:rsidP="00077D94">
            <w:pPr>
              <w:rPr>
                <w:rFonts w:ascii="Arial" w:eastAsia="Arial" w:hAnsi="Arial" w:cs="Arial"/>
              </w:rPr>
            </w:pPr>
            <w:r w:rsidRPr="6D584785">
              <w:rPr>
                <w:rFonts w:ascii="Arial" w:eastAsia="Arial" w:hAnsi="Arial" w:cs="Arial"/>
              </w:rPr>
              <w:t xml:space="preserve">Concerns regarding a student's </w:t>
            </w:r>
            <w:r w:rsidR="00CA113B">
              <w:rPr>
                <w:rFonts w:ascii="Arial" w:eastAsia="Arial" w:hAnsi="Arial" w:cs="Arial"/>
              </w:rPr>
              <w:t>fitness to practice (</w:t>
            </w:r>
            <w:proofErr w:type="spellStart"/>
            <w:r w:rsidR="00CA113B">
              <w:rPr>
                <w:rFonts w:ascii="Arial" w:eastAsia="Arial" w:hAnsi="Arial" w:cs="Arial"/>
              </w:rPr>
              <w:t>FtP</w:t>
            </w:r>
            <w:proofErr w:type="spellEnd"/>
            <w:r w:rsidR="00CA113B">
              <w:rPr>
                <w:rFonts w:ascii="Arial" w:eastAsia="Arial" w:hAnsi="Arial" w:cs="Arial"/>
              </w:rPr>
              <w:t>)</w:t>
            </w:r>
            <w:r w:rsidRPr="6D584785">
              <w:rPr>
                <w:rFonts w:ascii="Arial" w:eastAsia="Arial" w:hAnsi="Arial" w:cs="Arial"/>
              </w:rPr>
              <w:t xml:space="preserve"> may be raised by any staff member within the Dental Academy. Staff are encouraged to escalate concerns directly to a student's personal tutor, Module Coordinator, Clinical Director, Associate Head, or the </w:t>
            </w:r>
            <w:r w:rsidR="2ED2D693" w:rsidRPr="359BEEF5">
              <w:rPr>
                <w:rFonts w:ascii="Arial" w:eastAsia="Arial" w:hAnsi="Arial" w:cs="Arial"/>
              </w:rPr>
              <w:t>H</w:t>
            </w:r>
            <w:r w:rsidR="0004536A">
              <w:rPr>
                <w:rFonts w:ascii="Arial" w:eastAsia="Arial" w:hAnsi="Arial" w:cs="Arial"/>
              </w:rPr>
              <w:t xml:space="preserve">ead </w:t>
            </w:r>
            <w:r w:rsidR="6856B530" w:rsidRPr="359BEEF5">
              <w:rPr>
                <w:rFonts w:ascii="Arial" w:eastAsia="Arial" w:hAnsi="Arial" w:cs="Arial"/>
              </w:rPr>
              <w:t>o</w:t>
            </w:r>
            <w:r w:rsidR="0004536A">
              <w:rPr>
                <w:rFonts w:ascii="Arial" w:eastAsia="Arial" w:hAnsi="Arial" w:cs="Arial"/>
              </w:rPr>
              <w:t xml:space="preserve">f </w:t>
            </w:r>
            <w:r w:rsidR="6856B530" w:rsidRPr="359BEEF5">
              <w:rPr>
                <w:rFonts w:ascii="Arial" w:eastAsia="Arial" w:hAnsi="Arial" w:cs="Arial"/>
              </w:rPr>
              <w:t>S</w:t>
            </w:r>
            <w:r w:rsidR="0004536A">
              <w:rPr>
                <w:rFonts w:ascii="Arial" w:eastAsia="Arial" w:hAnsi="Arial" w:cs="Arial"/>
              </w:rPr>
              <w:t>chool (</w:t>
            </w:r>
            <w:proofErr w:type="spellStart"/>
            <w:r w:rsidR="0004536A">
              <w:rPr>
                <w:rFonts w:ascii="Arial" w:eastAsia="Arial" w:hAnsi="Arial" w:cs="Arial"/>
              </w:rPr>
              <w:t>HoS</w:t>
            </w:r>
            <w:proofErr w:type="spellEnd"/>
            <w:r w:rsidR="0004536A">
              <w:rPr>
                <w:rFonts w:ascii="Arial" w:eastAsia="Arial" w:hAnsi="Arial" w:cs="Arial"/>
              </w:rPr>
              <w:t>)</w:t>
            </w:r>
            <w:r w:rsidRPr="6D584785">
              <w:rPr>
                <w:rFonts w:ascii="Arial" w:eastAsia="Arial" w:hAnsi="Arial" w:cs="Arial"/>
              </w:rPr>
              <w:t xml:space="preserve"> using the designated online form. Teaching staff are urged to document any student concerns, including those pertaining to </w:t>
            </w:r>
            <w:proofErr w:type="spellStart"/>
            <w:r w:rsidR="5941B892" w:rsidRPr="359BEEF5">
              <w:rPr>
                <w:rFonts w:ascii="Arial" w:eastAsia="Arial" w:hAnsi="Arial" w:cs="Arial"/>
              </w:rPr>
              <w:t>FtP</w:t>
            </w:r>
            <w:proofErr w:type="spellEnd"/>
            <w:r w:rsidRPr="6D584785">
              <w:rPr>
                <w:rFonts w:ascii="Arial" w:eastAsia="Arial" w:hAnsi="Arial" w:cs="Arial"/>
              </w:rPr>
              <w:t>, utilising an online reporting mechanism. The Senior Tutor collates data related to these concerns to identify recurring issues or trends.</w:t>
            </w:r>
          </w:p>
          <w:p w14:paraId="0896C019" w14:textId="77777777" w:rsidR="00077D94" w:rsidRDefault="00077D94" w:rsidP="00077D94">
            <w:pPr>
              <w:rPr>
                <w:rFonts w:ascii="Arial" w:eastAsia="Arial" w:hAnsi="Arial" w:cs="Arial"/>
              </w:rPr>
            </w:pPr>
          </w:p>
          <w:p w14:paraId="2DA9913C" w14:textId="243DBCD2" w:rsidR="2998E2AC" w:rsidRDefault="2998E2AC" w:rsidP="00077D94">
            <w:pPr>
              <w:rPr>
                <w:rFonts w:ascii="Arial" w:eastAsia="Arial" w:hAnsi="Arial" w:cs="Arial"/>
              </w:rPr>
            </w:pPr>
            <w:r w:rsidRPr="6D584785">
              <w:rPr>
                <w:rFonts w:ascii="Arial" w:eastAsia="Arial" w:hAnsi="Arial" w:cs="Arial"/>
              </w:rPr>
              <w:t xml:space="preserve">All reported concerns are deliberated upon by the Student Support Committee, comprising the Senior Tutor and Associate Heads, with actions disseminated accordingly. Should a concern pertain to </w:t>
            </w:r>
            <w:r w:rsidR="0004536A" w:rsidRPr="6D584785">
              <w:rPr>
                <w:rFonts w:ascii="Arial" w:eastAsia="Arial" w:hAnsi="Arial" w:cs="Arial"/>
              </w:rPr>
              <w:t>an</w:t>
            </w:r>
            <w:r w:rsidRPr="6D584785">
              <w:rPr>
                <w:rFonts w:ascii="Arial" w:eastAsia="Arial" w:hAnsi="Arial" w:cs="Arial"/>
              </w:rPr>
              <w:t xml:space="preserve"> </w:t>
            </w:r>
            <w:proofErr w:type="spellStart"/>
            <w:r w:rsidR="44EC7049" w:rsidRPr="359BEEF5">
              <w:rPr>
                <w:rFonts w:ascii="Arial" w:eastAsia="Arial" w:hAnsi="Arial" w:cs="Arial"/>
              </w:rPr>
              <w:t>FtP</w:t>
            </w:r>
            <w:proofErr w:type="spellEnd"/>
            <w:r w:rsidRPr="6D584785">
              <w:rPr>
                <w:rFonts w:ascii="Arial" w:eastAsia="Arial" w:hAnsi="Arial" w:cs="Arial"/>
              </w:rPr>
              <w:t xml:space="preserve"> issue, it is promptly relayed to the appropriate authority by the Senior Tutor, initiating adherence to the prescribed </w:t>
            </w:r>
            <w:proofErr w:type="spellStart"/>
            <w:r w:rsidRPr="6D584785">
              <w:rPr>
                <w:rFonts w:ascii="Arial" w:eastAsia="Arial" w:hAnsi="Arial" w:cs="Arial"/>
              </w:rPr>
              <w:t>FtP</w:t>
            </w:r>
            <w:proofErr w:type="spellEnd"/>
            <w:r w:rsidRPr="6D584785">
              <w:rPr>
                <w:rFonts w:ascii="Arial" w:eastAsia="Arial" w:hAnsi="Arial" w:cs="Arial"/>
              </w:rPr>
              <w:t xml:space="preserve"> process outlined in the policy.</w:t>
            </w:r>
          </w:p>
          <w:p w14:paraId="4C196389" w14:textId="77777777" w:rsidR="00CA113B" w:rsidRDefault="00CA113B" w:rsidP="00077D94">
            <w:pPr>
              <w:rPr>
                <w:rFonts w:ascii="Arial" w:eastAsia="Arial" w:hAnsi="Arial" w:cs="Arial"/>
              </w:rPr>
            </w:pPr>
          </w:p>
          <w:p w14:paraId="077EEDBD" w14:textId="7E8E28BF" w:rsidR="2998E2AC" w:rsidRDefault="2998E2AC" w:rsidP="00077D94">
            <w:pPr>
              <w:rPr>
                <w:rFonts w:ascii="Arial" w:eastAsia="Arial" w:hAnsi="Arial" w:cs="Arial"/>
              </w:rPr>
            </w:pPr>
            <w:r w:rsidRPr="6D584785">
              <w:rPr>
                <w:rFonts w:ascii="Arial" w:eastAsia="Arial" w:hAnsi="Arial" w:cs="Arial"/>
              </w:rPr>
              <w:t xml:space="preserve">The </w:t>
            </w:r>
            <w:r w:rsidR="00CA113B">
              <w:rPr>
                <w:rFonts w:ascii="Arial" w:eastAsia="Arial" w:hAnsi="Arial" w:cs="Arial"/>
              </w:rPr>
              <w:t>U</w:t>
            </w:r>
            <w:r w:rsidRPr="6D584785">
              <w:rPr>
                <w:rFonts w:ascii="Arial" w:eastAsia="Arial" w:hAnsi="Arial" w:cs="Arial"/>
              </w:rPr>
              <w:t xml:space="preserve">niversity has implemented an early intervention system designed to identify student behaviour patterns and communicate the potential repercussions akin to those in professional settings. Records of these interventions are centrally stored, facilitating accessibility for executive members and retention within student files. This initiative has notably mitigated instances of </w:t>
            </w:r>
            <w:proofErr w:type="spellStart"/>
            <w:r w:rsidRPr="6D584785">
              <w:rPr>
                <w:rFonts w:ascii="Arial" w:eastAsia="Arial" w:hAnsi="Arial" w:cs="Arial"/>
              </w:rPr>
              <w:t>FtP</w:t>
            </w:r>
            <w:proofErr w:type="spellEnd"/>
            <w:r w:rsidRPr="6D584785">
              <w:rPr>
                <w:rFonts w:ascii="Arial" w:eastAsia="Arial" w:hAnsi="Arial" w:cs="Arial"/>
              </w:rPr>
              <w:t xml:space="preserve"> within the university</w:t>
            </w:r>
            <w:r w:rsidR="00C036FF">
              <w:rPr>
                <w:rFonts w:ascii="Arial" w:eastAsia="Arial" w:hAnsi="Arial" w:cs="Arial"/>
              </w:rPr>
              <w:t xml:space="preserve"> and was considered a very positive step in embedding reflective practise on professionalism by the Panel</w:t>
            </w:r>
            <w:r w:rsidRPr="6D584785">
              <w:rPr>
                <w:rFonts w:ascii="Arial" w:eastAsia="Arial" w:hAnsi="Arial" w:cs="Arial"/>
              </w:rPr>
              <w:t>.</w:t>
            </w:r>
          </w:p>
          <w:p w14:paraId="2BC28282" w14:textId="77777777" w:rsidR="00077D94" w:rsidRDefault="00077D94" w:rsidP="00077D94">
            <w:pPr>
              <w:rPr>
                <w:rFonts w:ascii="Arial" w:eastAsia="Arial" w:hAnsi="Arial" w:cs="Arial"/>
              </w:rPr>
            </w:pPr>
          </w:p>
          <w:p w14:paraId="10575057" w14:textId="00548108" w:rsidR="2998E2AC" w:rsidRDefault="00CA113B" w:rsidP="00077D94">
            <w:pPr>
              <w:rPr>
                <w:rFonts w:ascii="Arial" w:eastAsia="Arial" w:hAnsi="Arial" w:cs="Arial"/>
              </w:rPr>
            </w:pPr>
            <w:r>
              <w:rPr>
                <w:rFonts w:ascii="Arial" w:eastAsia="Arial" w:hAnsi="Arial" w:cs="Arial"/>
              </w:rPr>
              <w:t>The Requirement is met.</w:t>
            </w:r>
          </w:p>
          <w:p w14:paraId="406DF430" w14:textId="77777777" w:rsidR="00F0618C" w:rsidRDefault="00F0618C" w:rsidP="00A759EC">
            <w:pPr>
              <w:tabs>
                <w:tab w:val="left" w:pos="9214"/>
              </w:tabs>
              <w:rPr>
                <w:rFonts w:ascii="Arial" w:eastAsia="Calibri" w:hAnsi="Arial" w:cs="Arial"/>
                <w:color w:val="000000" w:themeColor="text1"/>
              </w:rPr>
            </w:pPr>
          </w:p>
          <w:p w14:paraId="09A33DCE" w14:textId="77777777" w:rsidR="00077D94" w:rsidRPr="0084743E" w:rsidRDefault="00077D94" w:rsidP="00A759EC">
            <w:pPr>
              <w:tabs>
                <w:tab w:val="left" w:pos="9214"/>
              </w:tabs>
              <w:rPr>
                <w:rFonts w:ascii="Arial" w:eastAsia="Calibri" w:hAnsi="Arial" w:cs="Arial"/>
                <w:color w:val="000000" w:themeColor="text1"/>
              </w:rPr>
            </w:pPr>
          </w:p>
        </w:tc>
      </w:tr>
      <w:tr w:rsidR="00E2148E" w:rsidRPr="0084743E" w14:paraId="23DE9A68" w14:textId="77777777" w:rsidTr="7480ADA0">
        <w:tc>
          <w:tcPr>
            <w:tcW w:w="9464" w:type="dxa"/>
            <w:gridSpan w:val="3"/>
            <w:shd w:val="clear" w:color="auto" w:fill="2F5496" w:themeFill="accent1" w:themeFillShade="BF"/>
          </w:tcPr>
          <w:p w14:paraId="180AADF4" w14:textId="77777777" w:rsidR="00E2148E" w:rsidRPr="0084743E" w:rsidRDefault="00E2148E" w:rsidP="00A759EC">
            <w:pPr>
              <w:rPr>
                <w:rFonts w:ascii="Arial" w:hAnsi="Arial" w:cs="Arial"/>
                <w:b/>
                <w:color w:val="FFFFFF" w:themeColor="background1"/>
              </w:rPr>
            </w:pPr>
            <w:r w:rsidRPr="0084743E">
              <w:rPr>
                <w:rFonts w:ascii="Arial" w:hAnsi="Arial" w:cs="Arial"/>
                <w:b/>
                <w:color w:val="FFFFFF" w:themeColor="background1"/>
              </w:rPr>
              <w:lastRenderedPageBreak/>
              <w:t>Standard 2 – Quality evaluation and review of the programme</w:t>
            </w:r>
          </w:p>
          <w:p w14:paraId="6CC02F2C" w14:textId="77777777" w:rsidR="00E2148E" w:rsidRPr="0084743E" w:rsidRDefault="00E2148E" w:rsidP="00A759EC">
            <w:pPr>
              <w:rPr>
                <w:rFonts w:ascii="Arial" w:hAnsi="Arial" w:cs="Arial"/>
                <w:b/>
                <w:color w:val="FFFFFF" w:themeColor="background1"/>
              </w:rPr>
            </w:pPr>
            <w:r w:rsidRPr="0084743E">
              <w:rPr>
                <w:rFonts w:ascii="Arial" w:eastAsia="Calibri" w:hAnsi="Arial" w:cs="Arial"/>
                <w:b/>
                <w:color w:val="FFFFFF" w:themeColor="background1"/>
              </w:rPr>
              <w:t>The provider must have in place effective policy and procedures for the monitoring and review of the programme.</w:t>
            </w:r>
          </w:p>
        </w:tc>
      </w:tr>
      <w:tr w:rsidR="00E2148E" w:rsidRPr="0084743E" w14:paraId="16612C79" w14:textId="77777777" w:rsidTr="7480ADA0">
        <w:trPr>
          <w:trHeight w:val="270"/>
        </w:trPr>
        <w:tc>
          <w:tcPr>
            <w:tcW w:w="9464" w:type="dxa"/>
            <w:gridSpan w:val="3"/>
          </w:tcPr>
          <w:p w14:paraId="2DD63F28" w14:textId="77777777" w:rsidR="00E2148E" w:rsidRPr="0084743E" w:rsidRDefault="00E2148E" w:rsidP="00A759EC">
            <w:pPr>
              <w:tabs>
                <w:tab w:val="left" w:pos="720"/>
                <w:tab w:val="left" w:pos="9214"/>
              </w:tabs>
              <w:ind w:right="34"/>
              <w:rPr>
                <w:rFonts w:ascii="Arial" w:eastAsia="Calibri" w:hAnsi="Arial" w:cs="Arial"/>
                <w:b/>
                <w:color w:val="000000" w:themeColor="text1"/>
              </w:rPr>
            </w:pPr>
          </w:p>
          <w:p w14:paraId="348E3E6F" w14:textId="06AD07F4" w:rsidR="00E2148E" w:rsidRPr="00167D74" w:rsidRDefault="00E2148E" w:rsidP="00A759EC">
            <w:pPr>
              <w:tabs>
                <w:tab w:val="left" w:pos="720"/>
                <w:tab w:val="left" w:pos="9214"/>
              </w:tabs>
              <w:ind w:right="34"/>
              <w:rPr>
                <w:rFonts w:ascii="Arial" w:eastAsia="Calibri" w:hAnsi="Arial" w:cs="Arial"/>
                <w:b/>
                <w:i/>
                <w:color w:val="000000" w:themeColor="text1"/>
              </w:rPr>
            </w:pPr>
            <w:r w:rsidRPr="00167D74">
              <w:rPr>
                <w:rFonts w:ascii="Arial" w:eastAsia="Calibri" w:hAnsi="Arial" w:cs="Arial"/>
                <w:b/>
                <w:color w:val="000000" w:themeColor="text1"/>
              </w:rPr>
              <w:t xml:space="preserve">Requirement 9: The provider must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 </w:t>
            </w:r>
            <w:r w:rsidR="00167D74" w:rsidRPr="0084743E">
              <w:rPr>
                <w:rFonts w:ascii="Arial" w:eastAsia="Calibri" w:hAnsi="Arial" w:cs="Arial"/>
                <w:b/>
                <w:i/>
                <w:color w:val="000000" w:themeColor="text1"/>
              </w:rPr>
              <w:t>(</w:t>
            </w:r>
            <w:r w:rsidR="00167D74" w:rsidRPr="00C36366">
              <w:rPr>
                <w:rFonts w:ascii="Arial" w:eastAsia="Calibri" w:hAnsi="Arial" w:cs="Arial"/>
                <w:b/>
                <w:i/>
                <w:color w:val="000000" w:themeColor="text1"/>
              </w:rPr>
              <w:t>Requirement Met</w:t>
            </w:r>
            <w:r w:rsidR="00167D74" w:rsidRPr="0084743E">
              <w:rPr>
                <w:rFonts w:ascii="Arial" w:eastAsia="Calibri" w:hAnsi="Arial" w:cs="Arial"/>
                <w:b/>
                <w:i/>
                <w:color w:val="000000" w:themeColor="text1"/>
              </w:rPr>
              <w:t>)</w:t>
            </w:r>
          </w:p>
          <w:p w14:paraId="4B175C1C" w14:textId="4EBD750F" w:rsidR="359BEEF5" w:rsidRDefault="359BEEF5" w:rsidP="359BEEF5">
            <w:pPr>
              <w:tabs>
                <w:tab w:val="left" w:pos="720"/>
                <w:tab w:val="left" w:pos="9214"/>
              </w:tabs>
              <w:ind w:right="34"/>
              <w:rPr>
                <w:rFonts w:ascii="Arial" w:eastAsia="Calibri" w:hAnsi="Arial" w:cs="Arial"/>
                <w:color w:val="000000" w:themeColor="text1"/>
              </w:rPr>
            </w:pPr>
          </w:p>
          <w:p w14:paraId="750E6548" w14:textId="2A76DB27" w:rsidR="009D3FF5" w:rsidRDefault="009D3FF5" w:rsidP="00A759EC">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programme is supported by a comprehensive committee structure that provides multiple opportunities for issues and suggestions for change to be raised and escalated to a final decision point. The School’s approach to quality management is set by the University and supported by the annual Excellence and Quality Improvement Plan (</w:t>
            </w:r>
            <w:proofErr w:type="spellStart"/>
            <w:r>
              <w:rPr>
                <w:rFonts w:ascii="Arial" w:eastAsia="Calibri" w:hAnsi="Arial" w:cs="Arial"/>
                <w:color w:val="000000" w:themeColor="text1"/>
              </w:rPr>
              <w:t>EQuIP</w:t>
            </w:r>
            <w:proofErr w:type="spellEnd"/>
            <w:r>
              <w:rPr>
                <w:rFonts w:ascii="Arial" w:eastAsia="Calibri" w:hAnsi="Arial" w:cs="Arial"/>
                <w:color w:val="000000" w:themeColor="text1"/>
              </w:rPr>
              <w:t xml:space="preserve">). </w:t>
            </w:r>
            <w:r w:rsidR="00E85C5C">
              <w:rPr>
                <w:rFonts w:ascii="Arial" w:eastAsia="Calibri" w:hAnsi="Arial" w:cs="Arial"/>
                <w:color w:val="000000" w:themeColor="text1"/>
              </w:rPr>
              <w:t>T</w:t>
            </w:r>
            <w:r>
              <w:rPr>
                <w:rFonts w:ascii="Arial" w:eastAsia="Calibri" w:hAnsi="Arial" w:cs="Arial"/>
                <w:color w:val="000000" w:themeColor="text1"/>
              </w:rPr>
              <w:t xml:space="preserve">he </w:t>
            </w:r>
            <w:proofErr w:type="spellStart"/>
            <w:r w:rsidR="00E85C5C">
              <w:rPr>
                <w:rFonts w:ascii="Arial" w:eastAsia="Calibri" w:hAnsi="Arial" w:cs="Arial"/>
                <w:color w:val="000000" w:themeColor="text1"/>
              </w:rPr>
              <w:t>HoS</w:t>
            </w:r>
            <w:proofErr w:type="spellEnd"/>
            <w:r>
              <w:rPr>
                <w:rFonts w:ascii="Arial" w:eastAsia="Calibri" w:hAnsi="Arial" w:cs="Arial"/>
                <w:color w:val="000000" w:themeColor="text1"/>
              </w:rPr>
              <w:t xml:space="preserve"> holds ultimate responsibility for the </w:t>
            </w:r>
            <w:proofErr w:type="spellStart"/>
            <w:r>
              <w:rPr>
                <w:rFonts w:ascii="Arial" w:eastAsia="Calibri" w:hAnsi="Arial" w:cs="Arial"/>
                <w:color w:val="000000" w:themeColor="text1"/>
              </w:rPr>
              <w:t>EQuIP</w:t>
            </w:r>
            <w:proofErr w:type="spellEnd"/>
            <w:r w:rsidR="00C36366">
              <w:rPr>
                <w:rFonts w:ascii="Arial" w:eastAsia="Calibri" w:hAnsi="Arial" w:cs="Arial"/>
                <w:color w:val="000000" w:themeColor="text1"/>
              </w:rPr>
              <w:t xml:space="preserve"> and reviews a range of data to complete the plan including student feedback, external examiner reports and a range of qualitative and quantitative data.</w:t>
            </w:r>
          </w:p>
          <w:p w14:paraId="51F71932" w14:textId="77777777" w:rsidR="00C36366" w:rsidRDefault="00C36366" w:rsidP="00A759EC">
            <w:pPr>
              <w:tabs>
                <w:tab w:val="left" w:pos="720"/>
                <w:tab w:val="left" w:pos="9214"/>
              </w:tabs>
              <w:ind w:right="34"/>
              <w:rPr>
                <w:rFonts w:ascii="Arial" w:eastAsia="Calibri" w:hAnsi="Arial" w:cs="Arial"/>
                <w:color w:val="000000" w:themeColor="text1"/>
              </w:rPr>
            </w:pPr>
          </w:p>
          <w:p w14:paraId="659C952C" w14:textId="0190682B" w:rsidR="00C36366" w:rsidRDefault="00C36366" w:rsidP="00A759EC">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 xml:space="preserve">The agendas for relevant committees, mainly being the Education Committee, have been amended to </w:t>
            </w:r>
            <w:proofErr w:type="gramStart"/>
            <w:r>
              <w:rPr>
                <w:rFonts w:ascii="Arial" w:eastAsia="Calibri" w:hAnsi="Arial" w:cs="Arial"/>
                <w:color w:val="000000" w:themeColor="text1"/>
              </w:rPr>
              <w:t>take into account</w:t>
            </w:r>
            <w:proofErr w:type="gramEnd"/>
            <w:r>
              <w:rPr>
                <w:rFonts w:ascii="Arial" w:eastAsia="Calibri" w:hAnsi="Arial" w:cs="Arial"/>
                <w:color w:val="000000" w:themeColor="text1"/>
              </w:rPr>
              <w:t xml:space="preserve"> the new GDC curriculum document. The responsibility for mapping across to the new learning outcomes and behaviours is clearly defined.</w:t>
            </w:r>
          </w:p>
          <w:p w14:paraId="35B88042" w14:textId="77777777" w:rsidR="00C36366" w:rsidRDefault="00C36366" w:rsidP="00A759EC">
            <w:pPr>
              <w:tabs>
                <w:tab w:val="left" w:pos="720"/>
                <w:tab w:val="left" w:pos="9214"/>
              </w:tabs>
              <w:ind w:right="34"/>
              <w:rPr>
                <w:rFonts w:ascii="Arial" w:eastAsia="Calibri" w:hAnsi="Arial" w:cs="Arial"/>
                <w:color w:val="000000" w:themeColor="text1"/>
              </w:rPr>
            </w:pPr>
          </w:p>
          <w:p w14:paraId="36BB1DFE" w14:textId="4B9829D4" w:rsidR="00C36366" w:rsidRDefault="00C36366" w:rsidP="00A759EC">
            <w:pPr>
              <w:tabs>
                <w:tab w:val="left" w:pos="720"/>
                <w:tab w:val="left" w:pos="9214"/>
              </w:tabs>
              <w:ind w:right="34"/>
              <w:rPr>
                <w:rFonts w:ascii="Arial" w:eastAsia="Calibri" w:hAnsi="Arial" w:cs="Arial"/>
                <w:color w:val="000000" w:themeColor="text1"/>
              </w:rPr>
            </w:pPr>
            <w:r>
              <w:rPr>
                <w:rFonts w:ascii="Arial" w:eastAsia="Calibri" w:hAnsi="Arial" w:cs="Arial"/>
                <w:color w:val="000000" w:themeColor="text1"/>
              </w:rPr>
              <w:t>The panel found the Requirement to be met although were concerned that such a detailed and complex committee structure for a relatively small programme was excessive. However, the panel recognised that not only must certain groups be in place per instructions from the University but that this structure will serve the school well when plans to merge and expand the School come to fruition.</w:t>
            </w:r>
          </w:p>
          <w:p w14:paraId="5D37BA00" w14:textId="77777777" w:rsidR="009D3FF5" w:rsidRDefault="009D3FF5" w:rsidP="00A759EC">
            <w:pPr>
              <w:tabs>
                <w:tab w:val="left" w:pos="720"/>
                <w:tab w:val="left" w:pos="9214"/>
              </w:tabs>
              <w:ind w:right="34"/>
              <w:rPr>
                <w:rFonts w:ascii="Arial" w:eastAsia="Calibri" w:hAnsi="Arial" w:cs="Arial"/>
                <w:color w:val="000000" w:themeColor="text1"/>
              </w:rPr>
            </w:pPr>
          </w:p>
          <w:p w14:paraId="4AEF49C4" w14:textId="77777777" w:rsidR="00F0618C" w:rsidRPr="0084743E" w:rsidRDefault="00F0618C" w:rsidP="00A759EC">
            <w:pPr>
              <w:tabs>
                <w:tab w:val="left" w:pos="720"/>
                <w:tab w:val="left" w:pos="9214"/>
              </w:tabs>
              <w:ind w:right="34"/>
              <w:rPr>
                <w:rFonts w:ascii="Arial" w:eastAsia="Calibri" w:hAnsi="Arial" w:cs="Arial"/>
                <w:color w:val="000000" w:themeColor="text1"/>
              </w:rPr>
            </w:pPr>
          </w:p>
          <w:p w14:paraId="176579BA" w14:textId="5DBE6DB0" w:rsidR="00E2148E" w:rsidRPr="0084743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10: Any concerns identified through the Quality Management framework, including internal and external reports relating to quality, must be addressed as soon as possible and the GDC notified of serious threats to students achieving the learning outcomes.  The provider will have systems in place to quality assure placements. </w:t>
            </w:r>
            <w:r w:rsidRPr="0084743E">
              <w:rPr>
                <w:rFonts w:ascii="Arial" w:eastAsia="Calibri" w:hAnsi="Arial" w:cs="Arial"/>
                <w:b/>
                <w:i/>
                <w:color w:val="000000" w:themeColor="text1"/>
              </w:rPr>
              <w:t>(</w:t>
            </w:r>
            <w:r w:rsidRPr="00077D94">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0E96666C" w14:textId="77777777" w:rsidR="00E2148E" w:rsidRDefault="00E2148E" w:rsidP="00A759EC">
            <w:pPr>
              <w:tabs>
                <w:tab w:val="left" w:pos="9214"/>
              </w:tabs>
              <w:ind w:right="34"/>
              <w:rPr>
                <w:rFonts w:ascii="Arial" w:eastAsia="Calibri" w:hAnsi="Arial" w:cs="Arial"/>
                <w:color w:val="000000" w:themeColor="text1"/>
              </w:rPr>
            </w:pPr>
          </w:p>
          <w:p w14:paraId="5FA4FA98" w14:textId="7365F400" w:rsidR="0076642D" w:rsidRDefault="0076642D" w:rsidP="00A759EC">
            <w:pPr>
              <w:tabs>
                <w:tab w:val="left" w:pos="9214"/>
              </w:tabs>
              <w:ind w:right="34"/>
              <w:rPr>
                <w:rFonts w:ascii="Arial" w:eastAsia="Calibri" w:hAnsi="Arial" w:cs="Arial"/>
                <w:color w:val="000000" w:themeColor="text1"/>
              </w:rPr>
            </w:pPr>
            <w:r>
              <w:rPr>
                <w:rFonts w:ascii="Arial" w:eastAsia="Calibri" w:hAnsi="Arial" w:cs="Arial"/>
                <w:color w:val="000000" w:themeColor="text1"/>
              </w:rPr>
              <w:t xml:space="preserve">The School utilises a Department Executive team which deals with </w:t>
            </w:r>
            <w:r w:rsidR="007F4D6F">
              <w:rPr>
                <w:rFonts w:ascii="Arial" w:eastAsia="Calibri" w:hAnsi="Arial" w:cs="Arial"/>
                <w:color w:val="000000" w:themeColor="text1"/>
              </w:rPr>
              <w:t>concerns raised by staff or students.</w:t>
            </w:r>
            <w:r w:rsidR="00077D94">
              <w:rPr>
                <w:rFonts w:ascii="Arial" w:eastAsia="Calibri" w:hAnsi="Arial" w:cs="Arial"/>
                <w:color w:val="000000" w:themeColor="text1"/>
              </w:rPr>
              <w:t xml:space="preserve"> The committees within the quality management framework all have terms of reference and it is clear where they would escalate issues that may affect the safe running of the programme.</w:t>
            </w:r>
          </w:p>
          <w:p w14:paraId="47240A2B" w14:textId="77777777" w:rsidR="00077D94" w:rsidRDefault="00077D94" w:rsidP="00A759EC">
            <w:pPr>
              <w:tabs>
                <w:tab w:val="left" w:pos="9214"/>
              </w:tabs>
              <w:ind w:right="34"/>
              <w:rPr>
                <w:rFonts w:ascii="Arial" w:eastAsia="Calibri" w:hAnsi="Arial" w:cs="Arial"/>
                <w:color w:val="000000" w:themeColor="text1"/>
              </w:rPr>
            </w:pPr>
          </w:p>
          <w:p w14:paraId="0B414FA2" w14:textId="7B0FD6B8" w:rsidR="00077D94" w:rsidRDefault="00BB2A66" w:rsidP="00A759EC">
            <w:pPr>
              <w:tabs>
                <w:tab w:val="left" w:pos="9214"/>
              </w:tabs>
              <w:ind w:right="34"/>
              <w:rPr>
                <w:rFonts w:ascii="Arial" w:eastAsia="Calibri" w:hAnsi="Arial" w:cs="Arial"/>
                <w:color w:val="000000" w:themeColor="text1"/>
              </w:rPr>
            </w:pPr>
            <w:r>
              <w:rPr>
                <w:rFonts w:ascii="Arial" w:eastAsia="Calibri" w:hAnsi="Arial" w:cs="Arial"/>
                <w:color w:val="000000" w:themeColor="text1"/>
              </w:rPr>
              <w:t>S</w:t>
            </w:r>
            <w:r w:rsidR="29A1805E" w:rsidRPr="7480ADA0">
              <w:rPr>
                <w:rFonts w:ascii="Arial" w:eastAsia="Calibri" w:hAnsi="Arial" w:cs="Arial"/>
                <w:color w:val="000000" w:themeColor="text1"/>
              </w:rPr>
              <w:t xml:space="preserve">tudents obtain </w:t>
            </w:r>
            <w:r w:rsidR="036BAB3F" w:rsidRPr="7480ADA0">
              <w:rPr>
                <w:rFonts w:ascii="Arial" w:eastAsia="Calibri" w:hAnsi="Arial" w:cs="Arial"/>
                <w:color w:val="000000" w:themeColor="text1"/>
              </w:rPr>
              <w:t>m</w:t>
            </w:r>
            <w:r w:rsidR="006F2108">
              <w:rPr>
                <w:rFonts w:ascii="Arial" w:eastAsia="Calibri" w:hAnsi="Arial" w:cs="Arial"/>
                <w:color w:val="000000" w:themeColor="text1"/>
              </w:rPr>
              <w:t>ost</w:t>
            </w:r>
            <w:r w:rsidR="036BAB3F" w:rsidRPr="7480ADA0">
              <w:rPr>
                <w:rFonts w:ascii="Arial" w:eastAsia="Calibri" w:hAnsi="Arial" w:cs="Arial"/>
                <w:color w:val="000000" w:themeColor="text1"/>
              </w:rPr>
              <w:t xml:space="preserve"> of</w:t>
            </w:r>
            <w:r w:rsidR="29A1805E" w:rsidRPr="7480ADA0">
              <w:rPr>
                <w:rFonts w:ascii="Arial" w:eastAsia="Calibri" w:hAnsi="Arial" w:cs="Arial"/>
                <w:color w:val="000000" w:themeColor="text1"/>
              </w:rPr>
              <w:t xml:space="preserve"> their experience at the Dental Academy and then complete five one day placements in different specialist areas. The placements </w:t>
            </w:r>
            <w:r w:rsidR="00D9493A">
              <w:rPr>
                <w:rFonts w:ascii="Arial" w:eastAsia="Calibri" w:hAnsi="Arial" w:cs="Arial"/>
                <w:color w:val="000000" w:themeColor="text1"/>
              </w:rPr>
              <w:t xml:space="preserve">in Community Dental Services and general anaesthetic involve clinical work, and while the other placements </w:t>
            </w:r>
            <w:r w:rsidR="29A1805E" w:rsidRPr="7480ADA0">
              <w:rPr>
                <w:rFonts w:ascii="Arial" w:eastAsia="Calibri" w:hAnsi="Arial" w:cs="Arial"/>
                <w:color w:val="000000" w:themeColor="text1"/>
              </w:rPr>
              <w:t xml:space="preserve">may involve some clinical </w:t>
            </w:r>
            <w:r w:rsidR="10727D7B" w:rsidRPr="7480ADA0">
              <w:rPr>
                <w:rFonts w:ascii="Arial" w:eastAsia="Calibri" w:hAnsi="Arial" w:cs="Arial"/>
                <w:color w:val="000000" w:themeColor="text1"/>
              </w:rPr>
              <w:t>work,</w:t>
            </w:r>
            <w:r w:rsidR="29A1805E" w:rsidRPr="7480ADA0">
              <w:rPr>
                <w:rFonts w:ascii="Arial" w:eastAsia="Calibri" w:hAnsi="Arial" w:cs="Arial"/>
                <w:color w:val="000000" w:themeColor="text1"/>
              </w:rPr>
              <w:t xml:space="preserve"> students</w:t>
            </w:r>
            <w:r>
              <w:rPr>
                <w:rFonts w:ascii="Arial" w:eastAsia="Calibri" w:hAnsi="Arial" w:cs="Arial"/>
                <w:color w:val="000000" w:themeColor="text1"/>
              </w:rPr>
              <w:t xml:space="preserve"> mainly</w:t>
            </w:r>
            <w:r w:rsidR="29A1805E" w:rsidRPr="7480ADA0">
              <w:rPr>
                <w:rFonts w:ascii="Arial" w:eastAsia="Calibri" w:hAnsi="Arial" w:cs="Arial"/>
                <w:color w:val="000000" w:themeColor="text1"/>
              </w:rPr>
              <w:t xml:space="preserve"> </w:t>
            </w:r>
            <w:r w:rsidR="1575B214" w:rsidRPr="7480ADA0">
              <w:rPr>
                <w:rFonts w:ascii="Arial" w:eastAsia="Calibri" w:hAnsi="Arial" w:cs="Arial"/>
                <w:color w:val="000000" w:themeColor="text1"/>
              </w:rPr>
              <w:t>shadow</w:t>
            </w:r>
            <w:r w:rsidR="29A1805E" w:rsidRPr="7480ADA0">
              <w:rPr>
                <w:rFonts w:ascii="Arial" w:eastAsia="Calibri" w:hAnsi="Arial" w:cs="Arial"/>
                <w:color w:val="000000" w:themeColor="text1"/>
              </w:rPr>
              <w:t xml:space="preserve"> and observe. Due to the use of placements in this way, a separate quality assurance mechanism is not required. However, should the provision of placement change, the provider must ensure that </w:t>
            </w:r>
            <w:r w:rsidR="006311DC">
              <w:rPr>
                <w:rFonts w:ascii="Arial" w:eastAsia="Calibri" w:hAnsi="Arial" w:cs="Arial"/>
                <w:color w:val="000000" w:themeColor="text1"/>
              </w:rPr>
              <w:t xml:space="preserve">an ongoing quality framework </w:t>
            </w:r>
            <w:r w:rsidR="29A1805E" w:rsidRPr="7480ADA0">
              <w:rPr>
                <w:rFonts w:ascii="Arial" w:eastAsia="Calibri" w:hAnsi="Arial" w:cs="Arial"/>
                <w:color w:val="000000" w:themeColor="text1"/>
              </w:rPr>
              <w:t>process is implemented</w:t>
            </w:r>
            <w:r w:rsidR="006B599A">
              <w:rPr>
                <w:rFonts w:ascii="Arial" w:eastAsia="Calibri" w:hAnsi="Arial" w:cs="Arial"/>
                <w:color w:val="000000" w:themeColor="text1"/>
              </w:rPr>
              <w:t xml:space="preserve"> to ensure </w:t>
            </w:r>
            <w:r w:rsidR="0018784F">
              <w:rPr>
                <w:rFonts w:ascii="Arial" w:eastAsia="Calibri" w:hAnsi="Arial" w:cs="Arial"/>
                <w:color w:val="000000" w:themeColor="text1"/>
              </w:rPr>
              <w:t>appropriate monitorin</w:t>
            </w:r>
            <w:r w:rsidR="00150F5F">
              <w:rPr>
                <w:rFonts w:ascii="Arial" w:eastAsia="Calibri" w:hAnsi="Arial" w:cs="Arial"/>
                <w:color w:val="000000" w:themeColor="text1"/>
              </w:rPr>
              <w:t>g,</w:t>
            </w:r>
            <w:r w:rsidR="0018784F">
              <w:rPr>
                <w:rFonts w:ascii="Arial" w:eastAsia="Calibri" w:hAnsi="Arial" w:cs="Arial"/>
                <w:color w:val="000000" w:themeColor="text1"/>
              </w:rPr>
              <w:t xml:space="preserve"> quality assurance</w:t>
            </w:r>
            <w:r w:rsidR="00150F5F">
              <w:rPr>
                <w:rFonts w:ascii="Arial" w:eastAsia="Calibri" w:hAnsi="Arial" w:cs="Arial"/>
                <w:color w:val="000000" w:themeColor="text1"/>
              </w:rPr>
              <w:t xml:space="preserve"> and consistency </w:t>
            </w:r>
            <w:r w:rsidR="002F731B">
              <w:rPr>
                <w:rFonts w:ascii="Arial" w:eastAsia="Calibri" w:hAnsi="Arial" w:cs="Arial"/>
                <w:color w:val="000000" w:themeColor="text1"/>
              </w:rPr>
              <w:t>for</w:t>
            </w:r>
            <w:r w:rsidR="006311DC">
              <w:rPr>
                <w:rFonts w:ascii="Arial" w:eastAsia="Calibri" w:hAnsi="Arial" w:cs="Arial"/>
                <w:color w:val="000000" w:themeColor="text1"/>
              </w:rPr>
              <w:t xml:space="preserve">. </w:t>
            </w:r>
            <w:r w:rsidR="29A1805E" w:rsidRPr="7480ADA0">
              <w:rPr>
                <w:rFonts w:ascii="Arial" w:eastAsia="Calibri" w:hAnsi="Arial" w:cs="Arial"/>
                <w:color w:val="000000" w:themeColor="text1"/>
              </w:rPr>
              <w:t>student experience.</w:t>
            </w:r>
          </w:p>
          <w:p w14:paraId="0649090E" w14:textId="77777777" w:rsidR="00077D94" w:rsidRDefault="00077D94" w:rsidP="00A759EC">
            <w:pPr>
              <w:tabs>
                <w:tab w:val="left" w:pos="9214"/>
              </w:tabs>
              <w:ind w:right="34"/>
              <w:rPr>
                <w:rFonts w:ascii="Arial" w:eastAsia="Calibri" w:hAnsi="Arial" w:cs="Arial"/>
                <w:color w:val="000000" w:themeColor="text1"/>
              </w:rPr>
            </w:pPr>
          </w:p>
          <w:p w14:paraId="31E4A8B6" w14:textId="4782B513" w:rsidR="00077D94" w:rsidRDefault="00077D94" w:rsidP="00A759EC">
            <w:pPr>
              <w:tabs>
                <w:tab w:val="left" w:pos="9214"/>
              </w:tabs>
              <w:ind w:right="34"/>
              <w:rPr>
                <w:rFonts w:ascii="Arial" w:eastAsia="Calibri" w:hAnsi="Arial" w:cs="Arial"/>
                <w:color w:val="000000" w:themeColor="text1"/>
              </w:rPr>
            </w:pPr>
            <w:r>
              <w:rPr>
                <w:rFonts w:ascii="Arial" w:eastAsia="Calibri" w:hAnsi="Arial" w:cs="Arial"/>
                <w:color w:val="000000" w:themeColor="text1"/>
              </w:rPr>
              <w:t>The Requirement is found to be met.</w:t>
            </w:r>
          </w:p>
          <w:p w14:paraId="7CDD3232" w14:textId="7A6D506B" w:rsidR="359BEEF5" w:rsidRDefault="359BEEF5" w:rsidP="359BEEF5">
            <w:pPr>
              <w:tabs>
                <w:tab w:val="left" w:pos="9214"/>
              </w:tabs>
              <w:ind w:right="34"/>
              <w:rPr>
                <w:rFonts w:ascii="Arial" w:eastAsia="Calibri" w:hAnsi="Arial" w:cs="Arial"/>
                <w:color w:val="000000" w:themeColor="text1"/>
              </w:rPr>
            </w:pPr>
          </w:p>
          <w:p w14:paraId="4B5C471D" w14:textId="77777777" w:rsidR="00CA113B" w:rsidRDefault="00CA113B" w:rsidP="359BEEF5">
            <w:pPr>
              <w:tabs>
                <w:tab w:val="left" w:pos="9214"/>
              </w:tabs>
              <w:ind w:right="34"/>
              <w:rPr>
                <w:rFonts w:ascii="Arial" w:eastAsia="Calibri" w:hAnsi="Arial" w:cs="Arial"/>
                <w:color w:val="000000" w:themeColor="text1"/>
              </w:rPr>
            </w:pPr>
          </w:p>
          <w:p w14:paraId="3AE3FCA0" w14:textId="40DC15C1" w:rsidR="00E2148E" w:rsidRPr="0084743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11: Programmes must be subject to rigorous internal and external quality assurance procedures. External quality assurance should include the use of external examiners, who should be familiar with the GDC learning outcomes and their context </w:t>
            </w:r>
            <w:r w:rsidRPr="0084743E">
              <w:rPr>
                <w:rFonts w:ascii="Arial" w:eastAsia="Calibri" w:hAnsi="Arial" w:cs="Arial"/>
                <w:b/>
                <w:color w:val="000000" w:themeColor="text1"/>
              </w:rPr>
              <w:lastRenderedPageBreak/>
              <w:t xml:space="preserve">and QAA guidelines should be followed where applicable. Patient and/or customer feedback must be collected and used to inform programme development. </w:t>
            </w:r>
            <w:r w:rsidRPr="0084743E">
              <w:rPr>
                <w:rFonts w:ascii="Arial" w:eastAsia="Calibri" w:hAnsi="Arial" w:cs="Arial"/>
                <w:b/>
                <w:i/>
                <w:color w:val="000000" w:themeColor="text1"/>
              </w:rPr>
              <w:t>(</w:t>
            </w:r>
            <w:r w:rsidRPr="000F35D6">
              <w:rPr>
                <w:rFonts w:ascii="Arial" w:eastAsia="Calibri" w:hAnsi="Arial" w:cs="Arial"/>
                <w:b/>
                <w:i/>
                <w:color w:val="000000" w:themeColor="text1"/>
              </w:rPr>
              <w:t>Requirement Partly Met</w:t>
            </w:r>
            <w:r w:rsidRPr="0084743E">
              <w:rPr>
                <w:rFonts w:ascii="Arial" w:eastAsia="Calibri" w:hAnsi="Arial" w:cs="Arial"/>
                <w:b/>
                <w:i/>
                <w:color w:val="000000" w:themeColor="text1"/>
              </w:rPr>
              <w:t>)</w:t>
            </w:r>
          </w:p>
          <w:p w14:paraId="7F08AE62" w14:textId="77777777" w:rsidR="00E2148E" w:rsidRDefault="00E2148E" w:rsidP="00A759EC">
            <w:pPr>
              <w:tabs>
                <w:tab w:val="left" w:pos="720"/>
                <w:tab w:val="left" w:pos="9214"/>
              </w:tabs>
              <w:ind w:right="34"/>
              <w:rPr>
                <w:rFonts w:ascii="Arial" w:eastAsia="Calibri" w:hAnsi="Arial" w:cs="Arial"/>
                <w:b/>
                <w:color w:val="000000" w:themeColor="text1"/>
              </w:rPr>
            </w:pPr>
          </w:p>
          <w:p w14:paraId="39D34FF7" w14:textId="508CCB91" w:rsidR="00077D94" w:rsidRDefault="00077D94" w:rsidP="00A759EC">
            <w:pPr>
              <w:tabs>
                <w:tab w:val="left" w:pos="720"/>
                <w:tab w:val="left" w:pos="9214"/>
              </w:tabs>
              <w:ind w:right="34"/>
              <w:rPr>
                <w:rFonts w:ascii="Arial" w:eastAsia="Calibri" w:hAnsi="Arial" w:cs="Arial"/>
                <w:bCs/>
                <w:color w:val="000000" w:themeColor="text1"/>
              </w:rPr>
            </w:pPr>
            <w:r>
              <w:rPr>
                <w:rFonts w:ascii="Arial" w:eastAsia="Calibri" w:hAnsi="Arial" w:cs="Arial"/>
                <w:bCs/>
                <w:color w:val="000000" w:themeColor="text1"/>
              </w:rPr>
              <w:t xml:space="preserve">External examiners </w:t>
            </w:r>
            <w:r w:rsidR="000F35D6">
              <w:rPr>
                <w:rFonts w:ascii="Arial" w:eastAsia="Calibri" w:hAnsi="Arial" w:cs="Arial"/>
                <w:bCs/>
                <w:color w:val="000000" w:themeColor="text1"/>
              </w:rPr>
              <w:t xml:space="preserve">perform a key function as part of the quality assurance measures imposed by the University’s Quality Assurance Committee. External examiners provide scrutiny and feedback at multiple points in the programme, such as during moderation prior to assessment approval, and act in an advisory capacity to the Module Assessment Board. Their role is set centrally, and external examiner reports are considered as part of the annual </w:t>
            </w:r>
            <w:proofErr w:type="spellStart"/>
            <w:r w:rsidR="000F35D6">
              <w:rPr>
                <w:rFonts w:ascii="Arial" w:eastAsia="Calibri" w:hAnsi="Arial" w:cs="Arial"/>
                <w:bCs/>
                <w:color w:val="000000" w:themeColor="text1"/>
              </w:rPr>
              <w:t>EQuIP.</w:t>
            </w:r>
            <w:proofErr w:type="spellEnd"/>
          </w:p>
          <w:p w14:paraId="48D6888B" w14:textId="77777777" w:rsidR="000F35D6" w:rsidRDefault="000F35D6" w:rsidP="00A759EC">
            <w:pPr>
              <w:tabs>
                <w:tab w:val="left" w:pos="720"/>
                <w:tab w:val="left" w:pos="9214"/>
              </w:tabs>
              <w:ind w:right="34"/>
              <w:rPr>
                <w:rFonts w:ascii="Arial" w:eastAsia="Calibri" w:hAnsi="Arial" w:cs="Arial"/>
                <w:bCs/>
                <w:color w:val="000000" w:themeColor="text1"/>
              </w:rPr>
            </w:pPr>
          </w:p>
          <w:p w14:paraId="7E95CED8" w14:textId="2C39B91D" w:rsidR="000F35D6" w:rsidRDefault="000F35D6" w:rsidP="00A759EC">
            <w:pPr>
              <w:tabs>
                <w:tab w:val="left" w:pos="720"/>
                <w:tab w:val="left" w:pos="9214"/>
              </w:tabs>
              <w:ind w:right="34"/>
              <w:rPr>
                <w:rFonts w:ascii="Arial" w:eastAsia="Calibri" w:hAnsi="Arial" w:cs="Arial"/>
                <w:bCs/>
                <w:color w:val="000000" w:themeColor="text1"/>
              </w:rPr>
            </w:pPr>
            <w:r>
              <w:rPr>
                <w:rFonts w:ascii="Arial" w:eastAsia="Calibri" w:hAnsi="Arial" w:cs="Arial"/>
                <w:bCs/>
                <w:color w:val="000000" w:themeColor="text1"/>
              </w:rPr>
              <w:t xml:space="preserve">Feedback is a strong element of the programme (discussed in further detail under Requirement 17). Patient feedback is gathered as part of the mechanisms in </w:t>
            </w:r>
            <w:r w:rsidR="0004536A">
              <w:rPr>
                <w:rFonts w:ascii="Arial" w:eastAsia="Calibri" w:hAnsi="Arial" w:cs="Arial"/>
                <w:bCs/>
                <w:color w:val="000000" w:themeColor="text1"/>
              </w:rPr>
              <w:t>place,</w:t>
            </w:r>
            <w:r>
              <w:rPr>
                <w:rFonts w:ascii="Arial" w:eastAsia="Calibri" w:hAnsi="Arial" w:cs="Arial"/>
                <w:bCs/>
                <w:color w:val="000000" w:themeColor="text1"/>
              </w:rPr>
              <w:t xml:space="preserve"> but the panel found limited evidence that this feeds into programme development in a meaningful way. </w:t>
            </w:r>
            <w:r w:rsidR="009B42D9">
              <w:rPr>
                <w:rFonts w:ascii="Arial" w:eastAsia="Calibri" w:hAnsi="Arial" w:cs="Arial"/>
                <w:bCs/>
                <w:color w:val="000000" w:themeColor="text1"/>
              </w:rPr>
              <w:t>W</w:t>
            </w:r>
            <w:r>
              <w:rPr>
                <w:rFonts w:ascii="Arial" w:eastAsia="Calibri" w:hAnsi="Arial" w:cs="Arial"/>
                <w:bCs/>
                <w:color w:val="000000" w:themeColor="text1"/>
              </w:rPr>
              <w:t>hile there appear to be multiple groups that may discuss patient feedback, evidence was not seen that this had been done or was a standard discussion point for the appropriate committees.</w:t>
            </w:r>
          </w:p>
          <w:p w14:paraId="5FAA6C64" w14:textId="77777777" w:rsidR="000F35D6" w:rsidRDefault="000F35D6" w:rsidP="00A759EC">
            <w:pPr>
              <w:tabs>
                <w:tab w:val="left" w:pos="720"/>
                <w:tab w:val="left" w:pos="9214"/>
              </w:tabs>
              <w:ind w:right="34"/>
              <w:rPr>
                <w:rFonts w:ascii="Arial" w:eastAsia="Calibri" w:hAnsi="Arial" w:cs="Arial"/>
                <w:bCs/>
                <w:color w:val="000000" w:themeColor="text1"/>
              </w:rPr>
            </w:pPr>
          </w:p>
          <w:p w14:paraId="6AF05F40" w14:textId="77777777" w:rsidR="000F35D6" w:rsidRDefault="000F35D6" w:rsidP="00A759EC">
            <w:pPr>
              <w:tabs>
                <w:tab w:val="left" w:pos="720"/>
                <w:tab w:val="left" w:pos="9214"/>
              </w:tabs>
              <w:ind w:right="34"/>
              <w:rPr>
                <w:rFonts w:ascii="Arial" w:eastAsia="Calibri" w:hAnsi="Arial" w:cs="Arial"/>
                <w:bCs/>
                <w:color w:val="000000" w:themeColor="text1"/>
              </w:rPr>
            </w:pPr>
            <w:r>
              <w:rPr>
                <w:rFonts w:ascii="Arial" w:eastAsia="Calibri" w:hAnsi="Arial" w:cs="Arial"/>
                <w:bCs/>
                <w:color w:val="000000" w:themeColor="text1"/>
              </w:rPr>
              <w:t xml:space="preserve">The panel recognised the inherent difficulties with using patient feedback in this way particularly as such feedback must be of sufficient detail and value to be properly utilised. However, actors are used in some practical assessments and their feedback could be fed into the quality management framework, particularly if detailed patient feedback is not available. </w:t>
            </w:r>
          </w:p>
          <w:p w14:paraId="25FA2AF0" w14:textId="77777777" w:rsidR="000F35D6" w:rsidRDefault="000F35D6" w:rsidP="00A759EC">
            <w:pPr>
              <w:tabs>
                <w:tab w:val="left" w:pos="720"/>
                <w:tab w:val="left" w:pos="9214"/>
              </w:tabs>
              <w:ind w:right="34"/>
              <w:rPr>
                <w:rFonts w:ascii="Arial" w:eastAsia="Calibri" w:hAnsi="Arial" w:cs="Arial"/>
                <w:bCs/>
                <w:color w:val="000000" w:themeColor="text1"/>
              </w:rPr>
            </w:pPr>
          </w:p>
          <w:p w14:paraId="1C64406B" w14:textId="151CA0B5" w:rsidR="000F35D6" w:rsidRPr="00077D94" w:rsidRDefault="000F35D6" w:rsidP="00A759EC">
            <w:pPr>
              <w:tabs>
                <w:tab w:val="left" w:pos="720"/>
                <w:tab w:val="left" w:pos="9214"/>
              </w:tabs>
              <w:ind w:right="34"/>
              <w:rPr>
                <w:rFonts w:ascii="Arial" w:eastAsia="Calibri" w:hAnsi="Arial" w:cs="Arial"/>
                <w:bCs/>
                <w:color w:val="000000" w:themeColor="text1"/>
              </w:rPr>
            </w:pPr>
            <w:r>
              <w:rPr>
                <w:rFonts w:ascii="Arial" w:eastAsia="Calibri" w:hAnsi="Arial" w:cs="Arial"/>
                <w:bCs/>
                <w:color w:val="000000" w:themeColor="text1"/>
              </w:rPr>
              <w:t xml:space="preserve">The Requirement is currently considered to be partly met but the School should be commended for the excellence of the 360° feedback mechanism employed. </w:t>
            </w:r>
          </w:p>
          <w:p w14:paraId="3D8BF43A" w14:textId="77777777" w:rsidR="00077D94" w:rsidRDefault="00077D94" w:rsidP="00A759EC">
            <w:pPr>
              <w:tabs>
                <w:tab w:val="left" w:pos="720"/>
                <w:tab w:val="left" w:pos="9214"/>
              </w:tabs>
              <w:ind w:right="34"/>
              <w:rPr>
                <w:rFonts w:ascii="Arial" w:eastAsia="Calibri" w:hAnsi="Arial" w:cs="Arial"/>
                <w:b/>
                <w:color w:val="000000" w:themeColor="text1"/>
              </w:rPr>
            </w:pPr>
          </w:p>
          <w:p w14:paraId="5CC99B7A" w14:textId="77777777" w:rsidR="00F0618C" w:rsidRDefault="00F0618C" w:rsidP="00A759EC">
            <w:pPr>
              <w:tabs>
                <w:tab w:val="left" w:pos="720"/>
                <w:tab w:val="left" w:pos="9214"/>
              </w:tabs>
              <w:ind w:right="34"/>
              <w:rPr>
                <w:rFonts w:ascii="Arial" w:eastAsia="Arial" w:hAnsi="Arial" w:cs="Arial"/>
                <w:b/>
                <w:color w:val="000000" w:themeColor="text1"/>
              </w:rPr>
            </w:pPr>
          </w:p>
          <w:p w14:paraId="0B16EF66" w14:textId="49E4C5DB" w:rsidR="00E2148E" w:rsidRPr="0084743E" w:rsidRDefault="00E2148E" w:rsidP="00A759EC">
            <w:pPr>
              <w:tabs>
                <w:tab w:val="left" w:pos="720"/>
                <w:tab w:val="left" w:pos="9214"/>
              </w:tabs>
              <w:ind w:right="34"/>
              <w:rPr>
                <w:rFonts w:ascii="Arial" w:eastAsia="Calibri" w:hAnsi="Arial" w:cs="Arial"/>
                <w:b/>
                <w:color w:val="000000" w:themeColor="text1"/>
              </w:rPr>
            </w:pPr>
            <w:r w:rsidRPr="0084743E">
              <w:rPr>
                <w:rFonts w:ascii="Arial" w:eastAsia="Calibri" w:hAnsi="Arial" w:cs="Arial"/>
                <w:b/>
                <w:color w:val="000000" w:themeColor="text1"/>
              </w:rPr>
              <w:t xml:space="preserve">Requirement 12: The provider must have effective systems in place to quality assure placements where students deliver treatment to ensure that patient care and student assessment across all locations meets these Standards. The quality assurance systems should include the regular collection of student and patient feedback relating to placements. </w:t>
            </w:r>
            <w:r w:rsidRPr="0084743E">
              <w:rPr>
                <w:rFonts w:ascii="Arial" w:eastAsia="Calibri" w:hAnsi="Arial" w:cs="Arial"/>
                <w:b/>
                <w:i/>
                <w:color w:val="000000" w:themeColor="text1"/>
              </w:rPr>
              <w:t>(</w:t>
            </w:r>
            <w:r w:rsidRPr="00505F07">
              <w:rPr>
                <w:rFonts w:ascii="Arial" w:eastAsia="Calibri" w:hAnsi="Arial" w:cs="Arial"/>
                <w:b/>
                <w:i/>
                <w:color w:val="000000" w:themeColor="text1"/>
              </w:rPr>
              <w:t>Requirement</w:t>
            </w:r>
            <w:r w:rsidR="00F010A4" w:rsidRPr="00505F07">
              <w:rPr>
                <w:rFonts w:ascii="Arial" w:eastAsia="Calibri" w:hAnsi="Arial" w:cs="Arial"/>
                <w:b/>
                <w:i/>
                <w:color w:val="000000" w:themeColor="text1"/>
              </w:rPr>
              <w:t xml:space="preserve"> Partly</w:t>
            </w:r>
            <w:r w:rsidRPr="00505F07">
              <w:rPr>
                <w:rFonts w:ascii="Arial" w:eastAsia="Calibri" w:hAnsi="Arial" w:cs="Arial"/>
                <w:b/>
                <w:i/>
                <w:color w:val="000000" w:themeColor="text1"/>
              </w:rPr>
              <w:t xml:space="preserve"> </w:t>
            </w:r>
            <w:r w:rsidR="00527931" w:rsidRPr="00505F07">
              <w:rPr>
                <w:rFonts w:ascii="Arial" w:eastAsia="Calibri" w:hAnsi="Arial" w:cs="Arial"/>
                <w:b/>
                <w:i/>
                <w:color w:val="000000" w:themeColor="text1"/>
              </w:rPr>
              <w:t>Met</w:t>
            </w:r>
            <w:r w:rsidRPr="0084743E">
              <w:rPr>
                <w:rFonts w:ascii="Arial" w:eastAsia="Calibri" w:hAnsi="Arial" w:cs="Arial"/>
                <w:b/>
                <w:i/>
                <w:color w:val="000000" w:themeColor="text1"/>
              </w:rPr>
              <w:t>)</w:t>
            </w:r>
          </w:p>
          <w:p w14:paraId="67199EDF" w14:textId="3F35317D" w:rsidR="359BEEF5" w:rsidRDefault="359BEEF5" w:rsidP="359BEEF5">
            <w:pPr>
              <w:tabs>
                <w:tab w:val="left" w:pos="9214"/>
              </w:tabs>
              <w:ind w:right="34"/>
              <w:rPr>
                <w:rFonts w:ascii="Arial" w:eastAsia="Calibri" w:hAnsi="Arial" w:cs="Arial"/>
                <w:color w:val="000000" w:themeColor="text1"/>
              </w:rPr>
            </w:pPr>
          </w:p>
          <w:p w14:paraId="603B1668" w14:textId="77777777" w:rsidR="00F010A4" w:rsidRDefault="004A57A3" w:rsidP="004A57A3">
            <w:pPr>
              <w:rPr>
                <w:rFonts w:ascii="Arial" w:eastAsia="Calibri" w:hAnsi="Arial" w:cs="Arial"/>
                <w:color w:val="000000" w:themeColor="text1"/>
              </w:rPr>
            </w:pPr>
            <w:r>
              <w:rPr>
                <w:rFonts w:ascii="Arial" w:eastAsia="Calibri" w:hAnsi="Arial" w:cs="Arial"/>
                <w:color w:val="000000" w:themeColor="text1"/>
              </w:rPr>
              <w:t>The School has effective feedback mechanisms (discussed under Requirements 11 and 17) and assures the quality of its’ in-house clinics (discussed under Requirement 3). As the School does not use traditional outreach placements, a quality assurance process for such sites does not exist.</w:t>
            </w:r>
          </w:p>
          <w:p w14:paraId="46EB2389" w14:textId="77777777" w:rsidR="004A57A3" w:rsidRDefault="004A57A3" w:rsidP="004A57A3">
            <w:pPr>
              <w:rPr>
                <w:rFonts w:ascii="Arial" w:eastAsia="Calibri" w:hAnsi="Arial" w:cs="Arial"/>
                <w:color w:val="000000" w:themeColor="text1"/>
              </w:rPr>
            </w:pPr>
          </w:p>
          <w:p w14:paraId="07413275" w14:textId="3B0D3955" w:rsidR="004A57A3" w:rsidRDefault="004A57A3" w:rsidP="004A57A3">
            <w:pPr>
              <w:rPr>
                <w:rFonts w:ascii="Arial" w:eastAsia="Calibri" w:hAnsi="Arial" w:cs="Arial"/>
                <w:color w:val="000000" w:themeColor="text1"/>
              </w:rPr>
            </w:pPr>
            <w:r>
              <w:rPr>
                <w:rFonts w:ascii="Arial" w:eastAsia="Calibri" w:hAnsi="Arial" w:cs="Arial"/>
                <w:color w:val="000000" w:themeColor="text1"/>
              </w:rPr>
              <w:t xml:space="preserve">However, students do have the opportunity to gain clinical experience on the placements, and these experiences would be logged and counted within the student’s overall clinical experience when making key sign-up and sign-off decisions. The way in which such experience is </w:t>
            </w:r>
            <w:r w:rsidR="0004536A">
              <w:rPr>
                <w:rFonts w:ascii="Arial" w:eastAsia="Calibri" w:hAnsi="Arial" w:cs="Arial"/>
                <w:color w:val="000000" w:themeColor="text1"/>
              </w:rPr>
              <w:t>noted,</w:t>
            </w:r>
            <w:r>
              <w:rPr>
                <w:rFonts w:ascii="Arial" w:eastAsia="Calibri" w:hAnsi="Arial" w:cs="Arial"/>
                <w:color w:val="000000" w:themeColor="text1"/>
              </w:rPr>
              <w:t xml:space="preserve"> and feedback given to students is not standardised. The School is in good contact with the providers of the </w:t>
            </w:r>
            <w:r w:rsidR="00505F07">
              <w:rPr>
                <w:rFonts w:ascii="Arial" w:eastAsia="Calibri" w:hAnsi="Arial" w:cs="Arial"/>
                <w:color w:val="000000" w:themeColor="text1"/>
              </w:rPr>
              <w:t>one-day</w:t>
            </w:r>
            <w:r>
              <w:rPr>
                <w:rFonts w:ascii="Arial" w:eastAsia="Calibri" w:hAnsi="Arial" w:cs="Arial"/>
                <w:color w:val="000000" w:themeColor="text1"/>
              </w:rPr>
              <w:t xml:space="preserve"> placements, and the panel had no reason to doubt the appropriateness of the experience or supervision at these sites, </w:t>
            </w:r>
            <w:r w:rsidR="00505F07">
              <w:rPr>
                <w:rFonts w:ascii="Arial" w:eastAsia="Calibri" w:hAnsi="Arial" w:cs="Arial"/>
                <w:color w:val="000000" w:themeColor="text1"/>
              </w:rPr>
              <w:t>but the inclusion of such experience without proper standardisation in place was a concern.</w:t>
            </w:r>
          </w:p>
          <w:p w14:paraId="11863CD4" w14:textId="77777777" w:rsidR="00505F07" w:rsidRDefault="00505F07" w:rsidP="004A57A3">
            <w:pPr>
              <w:rPr>
                <w:rFonts w:ascii="Arial" w:eastAsia="Calibri" w:hAnsi="Arial" w:cs="Arial"/>
                <w:color w:val="000000" w:themeColor="text1"/>
              </w:rPr>
            </w:pPr>
          </w:p>
          <w:p w14:paraId="72B3A891" w14:textId="37277A16" w:rsidR="00505F07" w:rsidRDefault="5EAC4AF3" w:rsidP="004A57A3">
            <w:pPr>
              <w:rPr>
                <w:rFonts w:ascii="Arial" w:eastAsia="Calibri" w:hAnsi="Arial" w:cs="Arial"/>
                <w:color w:val="000000" w:themeColor="text1"/>
              </w:rPr>
            </w:pPr>
            <w:r w:rsidRPr="7480ADA0">
              <w:rPr>
                <w:rFonts w:ascii="Arial" w:eastAsia="Calibri" w:hAnsi="Arial" w:cs="Arial"/>
                <w:color w:val="000000" w:themeColor="text1"/>
              </w:rPr>
              <w:t xml:space="preserve">The panel did not find evidence to suggest that any site where students of the programme could gain clinical experience were of a low standard, but the mechanisms are not in place to detect this. The School must review their practice of allowing experience on placement to be counted within a students’ overall experience for the purposes of progression and introduce a process, if appropriate, to ensure that students are supervised and assessed to the same level offsite as at the Dental Academy. </w:t>
            </w:r>
            <w:r w:rsidR="7182F77B" w:rsidRPr="7480ADA0">
              <w:rPr>
                <w:rFonts w:ascii="Arial" w:eastAsia="Calibri" w:hAnsi="Arial" w:cs="Arial"/>
                <w:color w:val="000000" w:themeColor="text1"/>
              </w:rPr>
              <w:t>The panel found this requirement to be partly met.</w:t>
            </w:r>
          </w:p>
          <w:p w14:paraId="4E220090" w14:textId="28AA493C" w:rsidR="7480ADA0" w:rsidRDefault="7480ADA0" w:rsidP="7480ADA0">
            <w:pPr>
              <w:rPr>
                <w:rFonts w:ascii="Arial" w:eastAsia="Calibri" w:hAnsi="Arial" w:cs="Arial"/>
                <w:color w:val="000000" w:themeColor="text1"/>
              </w:rPr>
            </w:pPr>
          </w:p>
          <w:p w14:paraId="283446D9" w14:textId="77777777" w:rsidR="00505F07" w:rsidRDefault="00505F07" w:rsidP="004A57A3">
            <w:pPr>
              <w:rPr>
                <w:rFonts w:ascii="Arial" w:eastAsia="Calibri" w:hAnsi="Arial" w:cs="Arial"/>
                <w:color w:val="000000" w:themeColor="text1"/>
              </w:rPr>
            </w:pPr>
          </w:p>
          <w:p w14:paraId="1061E37F" w14:textId="49197237" w:rsidR="00505F07" w:rsidRPr="0084743E" w:rsidRDefault="00505F07" w:rsidP="004A57A3">
            <w:pPr>
              <w:rPr>
                <w:rFonts w:ascii="Arial" w:eastAsia="Calibri" w:hAnsi="Arial" w:cs="Arial"/>
                <w:color w:val="000000" w:themeColor="text1"/>
              </w:rPr>
            </w:pPr>
          </w:p>
        </w:tc>
      </w:tr>
    </w:tbl>
    <w:p w14:paraId="28F3CD50" w14:textId="77777777" w:rsidR="00E2148E" w:rsidRPr="0084743E" w:rsidRDefault="00E2148E" w:rsidP="00E2148E">
      <w:pPr>
        <w:spacing w:after="0" w:line="240" w:lineRule="auto"/>
        <w:rPr>
          <w:rFonts w:ascii="Arial" w:hAnsi="Arial" w:cs="Arial"/>
        </w:rPr>
      </w:pPr>
    </w:p>
    <w:tbl>
      <w:tblPr>
        <w:tblStyle w:val="TableGrid"/>
        <w:tblW w:w="9464" w:type="dxa"/>
        <w:tblLook w:val="04A0" w:firstRow="1" w:lastRow="0" w:firstColumn="1" w:lastColumn="0" w:noHBand="0" w:noVBand="1"/>
      </w:tblPr>
      <w:tblGrid>
        <w:gridCol w:w="9464"/>
      </w:tblGrid>
      <w:tr w:rsidR="00E2148E" w:rsidRPr="0084743E" w14:paraId="0977AE07" w14:textId="77777777" w:rsidTr="7480ADA0">
        <w:tc>
          <w:tcPr>
            <w:tcW w:w="9464" w:type="dxa"/>
            <w:shd w:val="clear" w:color="auto" w:fill="2F5496" w:themeFill="accent1" w:themeFillShade="BF"/>
          </w:tcPr>
          <w:p w14:paraId="3A93300A" w14:textId="38C1F5D7" w:rsidR="00E2148E" w:rsidRPr="0084743E" w:rsidRDefault="00E2148E" w:rsidP="00A759EC">
            <w:pPr>
              <w:rPr>
                <w:rFonts w:ascii="Arial" w:hAnsi="Arial" w:cs="Arial"/>
                <w:b/>
                <w:color w:val="FFFFFF" w:themeColor="background1"/>
              </w:rPr>
            </w:pPr>
            <w:r w:rsidRPr="0084743E">
              <w:rPr>
                <w:rFonts w:ascii="Arial" w:hAnsi="Arial" w:cs="Arial"/>
              </w:rPr>
              <w:lastRenderedPageBreak/>
              <w:br w:type="page"/>
            </w:r>
            <w:r w:rsidRPr="0084743E">
              <w:rPr>
                <w:rFonts w:ascii="Arial" w:hAnsi="Arial" w:cs="Arial"/>
                <w:b/>
                <w:color w:val="FFFFFF" w:themeColor="background1"/>
              </w:rPr>
              <w:t>Standard 3</w:t>
            </w:r>
            <w:proofErr w:type="gramStart"/>
            <w:r w:rsidRPr="0084743E">
              <w:rPr>
                <w:rFonts w:ascii="Arial" w:hAnsi="Arial" w:cs="Arial"/>
                <w:b/>
                <w:color w:val="FFFFFF" w:themeColor="background1"/>
              </w:rPr>
              <w:t>–  Student</w:t>
            </w:r>
            <w:proofErr w:type="gramEnd"/>
            <w:r w:rsidRPr="0084743E">
              <w:rPr>
                <w:rFonts w:ascii="Arial" w:hAnsi="Arial" w:cs="Arial"/>
                <w:b/>
                <w:color w:val="FFFFFF" w:themeColor="background1"/>
              </w:rPr>
              <w:t xml:space="preserve"> assessment</w:t>
            </w:r>
          </w:p>
          <w:p w14:paraId="3BA6CF9E" w14:textId="77777777" w:rsidR="00E2148E" w:rsidRPr="0084743E" w:rsidRDefault="00E2148E" w:rsidP="00A759EC">
            <w:pPr>
              <w:rPr>
                <w:rFonts w:ascii="Arial" w:hAnsi="Arial" w:cs="Arial"/>
                <w:b/>
                <w:color w:val="FFFFFF" w:themeColor="background1"/>
              </w:rPr>
            </w:pPr>
            <w:r w:rsidRPr="0084743E">
              <w:rPr>
                <w:rFonts w:ascii="Arial" w:eastAsia="Calibri" w:hAnsi="Arial" w:cs="Arial"/>
                <w:b/>
                <w:color w:val="FFFFFF" w:themeColor="background1"/>
              </w:rPr>
              <w:t>Assessment must be reliable and valid. The choice of assessment method must be appropriate to demonstrate achievement of the GDC learning outcomes. Assessors must be fit to perform the assessment task.</w:t>
            </w:r>
          </w:p>
        </w:tc>
      </w:tr>
      <w:tr w:rsidR="00E2148E" w:rsidRPr="0084743E" w14:paraId="61F97003" w14:textId="77777777" w:rsidTr="7480ADA0">
        <w:trPr>
          <w:trHeight w:val="1266"/>
        </w:trPr>
        <w:tc>
          <w:tcPr>
            <w:tcW w:w="9464" w:type="dxa"/>
          </w:tcPr>
          <w:p w14:paraId="51B375BD" w14:textId="77777777" w:rsidR="00E2148E" w:rsidRPr="0084743E" w:rsidRDefault="00E2148E" w:rsidP="00A759EC">
            <w:pPr>
              <w:tabs>
                <w:tab w:val="left" w:pos="356"/>
                <w:tab w:val="left" w:pos="9248"/>
              </w:tabs>
              <w:rPr>
                <w:rFonts w:ascii="Arial" w:eastAsia="Calibri" w:hAnsi="Arial" w:cs="Arial"/>
                <w:b/>
                <w:color w:val="000000" w:themeColor="text1"/>
              </w:rPr>
            </w:pPr>
          </w:p>
          <w:p w14:paraId="6CB8C45A" w14:textId="11B370B7" w:rsidR="00E2148E" w:rsidRPr="0084743E" w:rsidRDefault="00E2148E" w:rsidP="00A759EC">
            <w:pPr>
              <w:tabs>
                <w:tab w:val="left" w:pos="356"/>
                <w:tab w:val="left" w:pos="9248"/>
              </w:tabs>
              <w:rPr>
                <w:rFonts w:ascii="Arial" w:hAnsi="Arial" w:cs="Arial"/>
                <w:b/>
                <w:i/>
              </w:rPr>
            </w:pPr>
            <w:r w:rsidRPr="0084743E">
              <w:rPr>
                <w:rFonts w:ascii="Arial" w:eastAsia="Calibri" w:hAnsi="Arial" w:cs="Arial"/>
                <w:b/>
                <w:color w:val="000000" w:themeColor="text1"/>
              </w:rPr>
              <w:t>Requirement 13: To award the qualification, providers must be assured that students have demonstrated attainment across the full range of learning outcomes, and that they are fit to practise at the level of a safe beginner. Evidence must be provided that demonstrates this assurance, which should be supported by a coherent approach to the principles of assessment referred to in these standards.</w:t>
            </w:r>
            <w:r w:rsidRPr="0084743E">
              <w:rPr>
                <w:rFonts w:ascii="Arial" w:eastAsia="Calibri" w:hAnsi="Arial" w:cs="Arial"/>
                <w:b/>
                <w:i/>
                <w:color w:val="000000" w:themeColor="text1"/>
              </w:rPr>
              <w:t xml:space="preserve"> </w:t>
            </w:r>
            <w:r w:rsidRPr="0084743E">
              <w:rPr>
                <w:rFonts w:ascii="Arial" w:hAnsi="Arial" w:cs="Arial"/>
                <w:b/>
                <w:i/>
              </w:rPr>
              <w:t>(</w:t>
            </w:r>
            <w:r w:rsidRPr="001D7BFC">
              <w:rPr>
                <w:rFonts w:ascii="Arial" w:hAnsi="Arial" w:cs="Arial"/>
                <w:b/>
                <w:i/>
              </w:rPr>
              <w:t xml:space="preserve">Requirement </w:t>
            </w:r>
            <w:r w:rsidR="009201CA" w:rsidRPr="001D7BFC">
              <w:rPr>
                <w:rFonts w:ascii="Arial" w:eastAsia="Calibri" w:hAnsi="Arial" w:cs="Arial"/>
                <w:b/>
                <w:i/>
                <w:color w:val="000000" w:themeColor="text1"/>
              </w:rPr>
              <w:t>Met</w:t>
            </w:r>
            <w:r w:rsidRPr="001D7BFC">
              <w:rPr>
                <w:rFonts w:ascii="Arial" w:hAnsi="Arial" w:cs="Arial"/>
                <w:b/>
                <w:i/>
              </w:rPr>
              <w:t>)</w:t>
            </w:r>
          </w:p>
          <w:p w14:paraId="075191BB" w14:textId="3D98BF00" w:rsidR="00E2148E" w:rsidRDefault="00E2148E" w:rsidP="00A759EC">
            <w:pPr>
              <w:tabs>
                <w:tab w:val="left" w:pos="356"/>
                <w:tab w:val="left" w:pos="9248"/>
              </w:tabs>
              <w:rPr>
                <w:rFonts w:ascii="Arial" w:hAnsi="Arial" w:cs="Arial"/>
              </w:rPr>
            </w:pPr>
          </w:p>
          <w:p w14:paraId="6143C16F" w14:textId="41AA8CAD" w:rsidR="00411432" w:rsidRDefault="00BF7229" w:rsidP="00A759EC">
            <w:pPr>
              <w:tabs>
                <w:tab w:val="left" w:pos="356"/>
                <w:tab w:val="left" w:pos="9248"/>
              </w:tabs>
              <w:rPr>
                <w:rFonts w:ascii="Arial" w:hAnsi="Arial" w:cs="Arial"/>
              </w:rPr>
            </w:pPr>
            <w:r>
              <w:rPr>
                <w:rFonts w:ascii="Arial" w:hAnsi="Arial" w:cs="Arial"/>
              </w:rPr>
              <w:t>Th</w:t>
            </w:r>
            <w:r w:rsidR="00075101">
              <w:rPr>
                <w:rFonts w:ascii="Arial" w:hAnsi="Arial" w:cs="Arial"/>
              </w:rPr>
              <w:t xml:space="preserve">e programme is fully mapped to the current GDC learning outcomes and will also map across </w:t>
            </w:r>
            <w:r w:rsidR="006D2D6C">
              <w:rPr>
                <w:rFonts w:ascii="Arial" w:hAnsi="Arial" w:cs="Arial"/>
              </w:rPr>
              <w:t>to</w:t>
            </w:r>
            <w:r w:rsidR="0060678A">
              <w:rPr>
                <w:rFonts w:ascii="Arial" w:hAnsi="Arial" w:cs="Arial"/>
              </w:rPr>
              <w:t xml:space="preserve"> the</w:t>
            </w:r>
            <w:r w:rsidR="006D2D6C">
              <w:rPr>
                <w:rFonts w:ascii="Arial" w:hAnsi="Arial" w:cs="Arial"/>
              </w:rPr>
              <w:t xml:space="preserve"> new framework of learning outcomes and behaviours which comes into effect on 1 August 2025</w:t>
            </w:r>
            <w:r w:rsidR="00EF5D14">
              <w:rPr>
                <w:rFonts w:ascii="Arial" w:hAnsi="Arial" w:cs="Arial"/>
              </w:rPr>
              <w:t>. The programme is divided into modules with a nominated coordinator for each who is responsible for the module guide</w:t>
            </w:r>
            <w:r w:rsidR="00F229DB">
              <w:rPr>
                <w:rFonts w:ascii="Arial" w:hAnsi="Arial" w:cs="Arial"/>
              </w:rPr>
              <w:t xml:space="preserve"> and associated</w:t>
            </w:r>
            <w:r w:rsidR="0060678A">
              <w:rPr>
                <w:rFonts w:ascii="Arial" w:hAnsi="Arial" w:cs="Arial"/>
              </w:rPr>
              <w:t xml:space="preserve"> assessments. All Module Coordinators have access to </w:t>
            </w:r>
            <w:proofErr w:type="spellStart"/>
            <w:r w:rsidR="0060678A">
              <w:rPr>
                <w:rFonts w:ascii="Arial" w:hAnsi="Arial" w:cs="Arial"/>
              </w:rPr>
              <w:t>LiftUpp</w:t>
            </w:r>
            <w:proofErr w:type="spellEnd"/>
            <w:r w:rsidR="0060678A">
              <w:rPr>
                <w:rFonts w:ascii="Arial" w:hAnsi="Arial" w:cs="Arial"/>
              </w:rPr>
              <w:t xml:space="preserve"> and </w:t>
            </w:r>
            <w:r w:rsidR="00BF7959">
              <w:rPr>
                <w:rFonts w:ascii="Arial" w:hAnsi="Arial" w:cs="Arial"/>
              </w:rPr>
              <w:t>can monitor student progress a</w:t>
            </w:r>
            <w:r w:rsidR="009B42D9">
              <w:rPr>
                <w:rFonts w:ascii="Arial" w:hAnsi="Arial" w:cs="Arial"/>
              </w:rPr>
              <w:t>t</w:t>
            </w:r>
            <w:r w:rsidR="00BF7959">
              <w:rPr>
                <w:rFonts w:ascii="Arial" w:hAnsi="Arial" w:cs="Arial"/>
              </w:rPr>
              <w:t xml:space="preserve"> any time</w:t>
            </w:r>
            <w:r w:rsidR="002979E8">
              <w:rPr>
                <w:rFonts w:ascii="Arial" w:hAnsi="Arial" w:cs="Arial"/>
              </w:rPr>
              <w:t xml:space="preserve"> to track their progression.</w:t>
            </w:r>
          </w:p>
          <w:p w14:paraId="436F545C" w14:textId="77777777" w:rsidR="00BF7959" w:rsidRDefault="00BF7959" w:rsidP="00A759EC">
            <w:pPr>
              <w:tabs>
                <w:tab w:val="left" w:pos="356"/>
                <w:tab w:val="left" w:pos="9248"/>
              </w:tabs>
              <w:rPr>
                <w:rFonts w:ascii="Arial" w:hAnsi="Arial" w:cs="Arial"/>
              </w:rPr>
            </w:pPr>
          </w:p>
          <w:p w14:paraId="385A3BE4" w14:textId="39597D95" w:rsidR="00BF7959" w:rsidRDefault="00BF7959" w:rsidP="00A759EC">
            <w:pPr>
              <w:tabs>
                <w:tab w:val="left" w:pos="356"/>
                <w:tab w:val="left" w:pos="9248"/>
              </w:tabs>
              <w:rPr>
                <w:rFonts w:ascii="Arial" w:hAnsi="Arial" w:cs="Arial"/>
              </w:rPr>
            </w:pPr>
            <w:r>
              <w:rPr>
                <w:rFonts w:ascii="Arial" w:hAnsi="Arial" w:cs="Arial"/>
              </w:rPr>
              <w:t xml:space="preserve">Any concerns raised about students by either Module Coordinators or personal tutors can be </w:t>
            </w:r>
            <w:r w:rsidR="00644F3D">
              <w:rPr>
                <w:rFonts w:ascii="Arial" w:hAnsi="Arial" w:cs="Arial"/>
              </w:rPr>
              <w:t xml:space="preserve">referred to the Student Support Committee which is </w:t>
            </w:r>
            <w:r w:rsidR="00D83EC8">
              <w:rPr>
                <w:rFonts w:ascii="Arial" w:hAnsi="Arial" w:cs="Arial"/>
              </w:rPr>
              <w:t>also attended by the Senior Tutor and Associate Heads.</w:t>
            </w:r>
            <w:r w:rsidR="00BD40DB">
              <w:rPr>
                <w:rFonts w:ascii="Arial" w:hAnsi="Arial" w:cs="Arial"/>
              </w:rPr>
              <w:t xml:space="preserve"> This allows for values-based concerns to be raised easily as these might not fulfil the criteria for the clinical alerting mechanism on the central clinical recording system</w:t>
            </w:r>
            <w:r w:rsidR="009B42D9">
              <w:rPr>
                <w:rFonts w:ascii="Arial" w:hAnsi="Arial" w:cs="Arial"/>
              </w:rPr>
              <w:t>;</w:t>
            </w:r>
            <w:r w:rsidR="00BD40DB">
              <w:rPr>
                <w:rFonts w:ascii="Arial" w:hAnsi="Arial" w:cs="Arial"/>
              </w:rPr>
              <w:t xml:space="preserve"> </w:t>
            </w:r>
            <w:proofErr w:type="spellStart"/>
            <w:r w:rsidR="00BD40DB">
              <w:rPr>
                <w:rFonts w:ascii="Arial" w:hAnsi="Arial" w:cs="Arial"/>
              </w:rPr>
              <w:t>LiftUpp</w:t>
            </w:r>
            <w:proofErr w:type="spellEnd"/>
            <w:r w:rsidR="00BD40DB">
              <w:rPr>
                <w:rFonts w:ascii="Arial" w:hAnsi="Arial" w:cs="Arial"/>
              </w:rPr>
              <w:t>.</w:t>
            </w:r>
            <w:r w:rsidR="00D83EC8">
              <w:rPr>
                <w:rFonts w:ascii="Arial" w:hAnsi="Arial" w:cs="Arial"/>
              </w:rPr>
              <w:t xml:space="preserve"> Any remediation required </w:t>
            </w:r>
            <w:r w:rsidR="00955BCA">
              <w:rPr>
                <w:rFonts w:ascii="Arial" w:hAnsi="Arial" w:cs="Arial"/>
              </w:rPr>
              <w:t xml:space="preserve">following consideration by the group will be offered to students and recorded. </w:t>
            </w:r>
            <w:r w:rsidR="00B05AF5">
              <w:rPr>
                <w:rFonts w:ascii="Arial" w:hAnsi="Arial" w:cs="Arial"/>
              </w:rPr>
              <w:t xml:space="preserve">All student </w:t>
            </w:r>
            <w:r w:rsidR="009B42D9">
              <w:rPr>
                <w:rFonts w:ascii="Arial" w:hAnsi="Arial" w:cs="Arial"/>
              </w:rPr>
              <w:t xml:space="preserve">clinical </w:t>
            </w:r>
            <w:r w:rsidR="00B05AF5">
              <w:rPr>
                <w:rFonts w:ascii="Arial" w:hAnsi="Arial" w:cs="Arial"/>
              </w:rPr>
              <w:t xml:space="preserve">data is </w:t>
            </w:r>
            <w:r w:rsidR="00EA457B">
              <w:rPr>
                <w:rFonts w:ascii="Arial" w:hAnsi="Arial" w:cs="Arial"/>
              </w:rPr>
              <w:t>considered at the Clinical Develo</w:t>
            </w:r>
            <w:r w:rsidR="00415D90">
              <w:rPr>
                <w:rFonts w:ascii="Arial" w:hAnsi="Arial" w:cs="Arial"/>
              </w:rPr>
              <w:t>pment Monitoring Panel (CDMP)</w:t>
            </w:r>
            <w:r w:rsidR="00BD73F1">
              <w:rPr>
                <w:rFonts w:ascii="Arial" w:hAnsi="Arial" w:cs="Arial"/>
              </w:rPr>
              <w:t xml:space="preserve"> which meets three times each academic year, and for which the last meeting of each year acts as the sign-up to final assessments.</w:t>
            </w:r>
          </w:p>
          <w:p w14:paraId="6C18D40C" w14:textId="77777777" w:rsidR="005373E7" w:rsidRDefault="005373E7" w:rsidP="00A759EC">
            <w:pPr>
              <w:tabs>
                <w:tab w:val="left" w:pos="356"/>
                <w:tab w:val="left" w:pos="9248"/>
              </w:tabs>
              <w:rPr>
                <w:rFonts w:ascii="Arial" w:hAnsi="Arial" w:cs="Arial"/>
              </w:rPr>
            </w:pPr>
          </w:p>
          <w:p w14:paraId="10F07F11" w14:textId="659C5921" w:rsidR="00E26003" w:rsidRDefault="005373E7" w:rsidP="00A759EC">
            <w:pPr>
              <w:tabs>
                <w:tab w:val="left" w:pos="356"/>
                <w:tab w:val="left" w:pos="9248"/>
              </w:tabs>
              <w:rPr>
                <w:rFonts w:ascii="Arial" w:hAnsi="Arial" w:cs="Arial"/>
              </w:rPr>
            </w:pPr>
            <w:r>
              <w:rPr>
                <w:rFonts w:ascii="Arial" w:hAnsi="Arial" w:cs="Arial"/>
              </w:rPr>
              <w:t>The quality management framework ensures that student attainment and progression is</w:t>
            </w:r>
            <w:r w:rsidR="00C53167">
              <w:rPr>
                <w:rFonts w:ascii="Arial" w:hAnsi="Arial" w:cs="Arial"/>
              </w:rPr>
              <w:t xml:space="preserve"> collated and discussed at several points prior to the final CDMP. This allows the programme team to identify anyone struggling at an early point and to offer an intervention at an appropriate stage. A standardised </w:t>
            </w:r>
            <w:r w:rsidR="00581A13">
              <w:rPr>
                <w:rFonts w:ascii="Arial" w:hAnsi="Arial" w:cs="Arial"/>
              </w:rPr>
              <w:t>remediation template is utilised.</w:t>
            </w:r>
            <w:r w:rsidR="001D7BFC">
              <w:rPr>
                <w:rFonts w:ascii="Arial" w:hAnsi="Arial" w:cs="Arial"/>
              </w:rPr>
              <w:t xml:space="preserve"> </w:t>
            </w:r>
            <w:r w:rsidR="00E26003">
              <w:rPr>
                <w:rFonts w:ascii="Arial" w:hAnsi="Arial" w:cs="Arial"/>
              </w:rPr>
              <w:t xml:space="preserve">All assessments must meet University criteria and </w:t>
            </w:r>
            <w:r w:rsidR="00714D1C">
              <w:rPr>
                <w:rFonts w:ascii="Arial" w:hAnsi="Arial" w:cs="Arial"/>
              </w:rPr>
              <w:t>resits</w:t>
            </w:r>
            <w:r w:rsidR="001D7BFC">
              <w:rPr>
                <w:rFonts w:ascii="Arial" w:hAnsi="Arial" w:cs="Arial"/>
              </w:rPr>
              <w:t xml:space="preserve"> are offered should a student fail at the first attempt.</w:t>
            </w:r>
          </w:p>
          <w:p w14:paraId="1B6F8C80" w14:textId="77777777" w:rsidR="004756A9" w:rsidRDefault="004756A9" w:rsidP="00A759EC">
            <w:pPr>
              <w:tabs>
                <w:tab w:val="left" w:pos="356"/>
                <w:tab w:val="left" w:pos="9248"/>
              </w:tabs>
              <w:rPr>
                <w:rFonts w:ascii="Arial" w:hAnsi="Arial" w:cs="Arial"/>
              </w:rPr>
            </w:pPr>
          </w:p>
          <w:p w14:paraId="0BCD00C0" w14:textId="1A901CFB" w:rsidR="004756A9" w:rsidRDefault="008954B6" w:rsidP="00A759EC">
            <w:pPr>
              <w:tabs>
                <w:tab w:val="left" w:pos="356"/>
                <w:tab w:val="left" w:pos="9248"/>
              </w:tabs>
              <w:rPr>
                <w:rFonts w:ascii="Arial" w:hAnsi="Arial" w:cs="Arial"/>
              </w:rPr>
            </w:pPr>
            <w:r>
              <w:rPr>
                <w:rFonts w:ascii="Arial" w:hAnsi="Arial" w:cs="Arial"/>
              </w:rPr>
              <w:t>Clinical progression data</w:t>
            </w:r>
            <w:r w:rsidR="0013320D">
              <w:rPr>
                <w:rFonts w:ascii="Arial" w:hAnsi="Arial" w:cs="Arial"/>
              </w:rPr>
              <w:t xml:space="preserve">, assessment timetables, module guides </w:t>
            </w:r>
            <w:r w:rsidR="006A6ABF">
              <w:rPr>
                <w:rFonts w:ascii="Arial" w:hAnsi="Arial" w:cs="Arial"/>
              </w:rPr>
              <w:t>and examples of student portfolios were available for review during the inspection.</w:t>
            </w:r>
            <w:r w:rsidR="00882D63">
              <w:rPr>
                <w:rFonts w:ascii="Arial" w:hAnsi="Arial" w:cs="Arial"/>
              </w:rPr>
              <w:t xml:space="preserve"> The panel were assured through the triangulation of evidence between staff and students as well as the documentary evidence that the Requirement is met.</w:t>
            </w:r>
          </w:p>
          <w:p w14:paraId="19E83C82" w14:textId="77777777" w:rsidR="00882D63" w:rsidRDefault="00882D63" w:rsidP="00A759EC">
            <w:pPr>
              <w:tabs>
                <w:tab w:val="left" w:pos="356"/>
                <w:tab w:val="left" w:pos="9248"/>
              </w:tabs>
              <w:rPr>
                <w:rFonts w:ascii="Arial" w:hAnsi="Arial" w:cs="Arial"/>
              </w:rPr>
            </w:pPr>
          </w:p>
          <w:p w14:paraId="605728BC" w14:textId="77777777" w:rsidR="00F14717" w:rsidRPr="0084743E" w:rsidRDefault="00F14717" w:rsidP="00A759EC">
            <w:pPr>
              <w:tabs>
                <w:tab w:val="left" w:pos="356"/>
                <w:tab w:val="left" w:pos="9248"/>
              </w:tabs>
              <w:rPr>
                <w:rFonts w:ascii="Arial" w:hAnsi="Arial" w:cs="Arial"/>
              </w:rPr>
            </w:pPr>
          </w:p>
          <w:p w14:paraId="2BC30CD1" w14:textId="5E7AA9B6" w:rsidR="00E2148E" w:rsidRPr="0084743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 xml:space="preserve">Requirement 14: The provider must have in place management systems to plan, </w:t>
            </w:r>
            <w:proofErr w:type="gramStart"/>
            <w:r w:rsidRPr="0084743E">
              <w:rPr>
                <w:rFonts w:ascii="Arial" w:eastAsia="Calibri" w:hAnsi="Arial" w:cs="Arial"/>
                <w:b/>
                <w:color w:val="000000" w:themeColor="text1"/>
              </w:rPr>
              <w:t>monitor</w:t>
            </w:r>
            <w:proofErr w:type="gramEnd"/>
            <w:r w:rsidRPr="0084743E">
              <w:rPr>
                <w:rFonts w:ascii="Arial" w:eastAsia="Calibri" w:hAnsi="Arial" w:cs="Arial"/>
                <w:b/>
                <w:color w:val="000000" w:themeColor="text1"/>
              </w:rPr>
              <w:t xml:space="preserve"> and centrally record the assessment of students, including the monitoring of clinical and/or technical experience, throughout the programme against each of the learning outcomes. </w:t>
            </w:r>
            <w:r w:rsidRPr="0084743E">
              <w:rPr>
                <w:rFonts w:ascii="Arial" w:eastAsia="Calibri" w:hAnsi="Arial" w:cs="Arial"/>
                <w:b/>
                <w:i/>
                <w:color w:val="000000" w:themeColor="text1"/>
              </w:rPr>
              <w:t>(</w:t>
            </w:r>
            <w:r w:rsidRPr="007B1468">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74CF75A1" w14:textId="77777777" w:rsidR="00E2148E" w:rsidRDefault="00E2148E" w:rsidP="00A759EC">
            <w:pPr>
              <w:tabs>
                <w:tab w:val="left" w:pos="720"/>
                <w:tab w:val="left" w:pos="9248"/>
              </w:tabs>
              <w:rPr>
                <w:rFonts w:ascii="Arial" w:eastAsia="Calibri" w:hAnsi="Arial" w:cs="Arial"/>
                <w:color w:val="000000" w:themeColor="text1"/>
              </w:rPr>
            </w:pPr>
          </w:p>
          <w:p w14:paraId="62594E1E" w14:textId="2BBECAAD" w:rsidR="006F5EAE" w:rsidRDefault="00D5171A"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programme utilises two main systems involving students: </w:t>
            </w:r>
            <w:proofErr w:type="spellStart"/>
            <w:r>
              <w:rPr>
                <w:rFonts w:ascii="Arial" w:eastAsia="Calibri" w:hAnsi="Arial" w:cs="Arial"/>
                <w:color w:val="000000" w:themeColor="text1"/>
              </w:rPr>
              <w:t>LiftUpp</w:t>
            </w:r>
            <w:proofErr w:type="spellEnd"/>
            <w:r>
              <w:rPr>
                <w:rFonts w:ascii="Arial" w:eastAsia="Calibri" w:hAnsi="Arial" w:cs="Arial"/>
                <w:color w:val="000000" w:themeColor="text1"/>
              </w:rPr>
              <w:t xml:space="preserve"> and Moodle. Moodle is the online virtual learning environment where educational resources and policies can be kept for </w:t>
            </w:r>
            <w:r w:rsidR="009505AC">
              <w:rPr>
                <w:rFonts w:ascii="Arial" w:eastAsia="Calibri" w:hAnsi="Arial" w:cs="Arial"/>
                <w:color w:val="000000" w:themeColor="text1"/>
              </w:rPr>
              <w:t xml:space="preserve">reference at any time. </w:t>
            </w:r>
            <w:proofErr w:type="spellStart"/>
            <w:r w:rsidR="009505AC">
              <w:rPr>
                <w:rFonts w:ascii="Arial" w:eastAsia="Calibri" w:hAnsi="Arial" w:cs="Arial"/>
                <w:color w:val="000000" w:themeColor="text1"/>
              </w:rPr>
              <w:t>LiftUpp</w:t>
            </w:r>
            <w:proofErr w:type="spellEnd"/>
            <w:r w:rsidR="009505AC">
              <w:rPr>
                <w:rFonts w:ascii="Arial" w:eastAsia="Calibri" w:hAnsi="Arial" w:cs="Arial"/>
                <w:color w:val="000000" w:themeColor="text1"/>
              </w:rPr>
              <w:t xml:space="preserve"> records clinical experience including </w:t>
            </w:r>
            <w:r w:rsidR="0093315A">
              <w:rPr>
                <w:rFonts w:ascii="Arial" w:eastAsia="Calibri" w:hAnsi="Arial" w:cs="Arial"/>
                <w:color w:val="000000" w:themeColor="text1"/>
              </w:rPr>
              <w:t>feedback and</w:t>
            </w:r>
            <w:r w:rsidR="007A172B">
              <w:rPr>
                <w:rFonts w:ascii="Arial" w:eastAsia="Calibri" w:hAnsi="Arial" w:cs="Arial"/>
                <w:color w:val="000000" w:themeColor="text1"/>
              </w:rPr>
              <w:t xml:space="preserve"> is one of the main components of the CDMPs. </w:t>
            </w:r>
            <w:proofErr w:type="spellStart"/>
            <w:r w:rsidR="007A172B">
              <w:rPr>
                <w:rFonts w:ascii="Arial" w:eastAsia="Calibri" w:hAnsi="Arial" w:cs="Arial"/>
                <w:color w:val="000000" w:themeColor="text1"/>
              </w:rPr>
              <w:t>LiftUpp</w:t>
            </w:r>
            <w:proofErr w:type="spellEnd"/>
            <w:r w:rsidR="007A172B">
              <w:rPr>
                <w:rFonts w:ascii="Arial" w:eastAsia="Calibri" w:hAnsi="Arial" w:cs="Arial"/>
                <w:color w:val="000000" w:themeColor="text1"/>
              </w:rPr>
              <w:t xml:space="preserve"> allows for reports to be run to identify specific trends or achievement for </w:t>
            </w:r>
            <w:proofErr w:type="gramStart"/>
            <w:r w:rsidR="007A172B">
              <w:rPr>
                <w:rFonts w:ascii="Arial" w:eastAsia="Calibri" w:hAnsi="Arial" w:cs="Arial"/>
                <w:color w:val="000000" w:themeColor="text1"/>
              </w:rPr>
              <w:t>particular treatments</w:t>
            </w:r>
            <w:proofErr w:type="gramEnd"/>
            <w:r w:rsidR="0021649C">
              <w:rPr>
                <w:rFonts w:ascii="Arial" w:eastAsia="Calibri" w:hAnsi="Arial" w:cs="Arial"/>
                <w:color w:val="000000" w:themeColor="text1"/>
              </w:rPr>
              <w:t>.</w:t>
            </w:r>
            <w:r w:rsidR="00A136F7">
              <w:rPr>
                <w:rFonts w:ascii="Arial" w:eastAsia="Calibri" w:hAnsi="Arial" w:cs="Arial"/>
                <w:color w:val="000000" w:themeColor="text1"/>
              </w:rPr>
              <w:t xml:space="preserve"> </w:t>
            </w:r>
            <w:r w:rsidR="00707AA6">
              <w:rPr>
                <w:rFonts w:ascii="Arial" w:eastAsia="Calibri" w:hAnsi="Arial" w:cs="Arial"/>
                <w:color w:val="000000" w:themeColor="text1"/>
              </w:rPr>
              <w:t>The system is also mapped to the learning outcomes</w:t>
            </w:r>
            <w:r w:rsidR="0082378A">
              <w:rPr>
                <w:rFonts w:ascii="Arial" w:eastAsia="Calibri" w:hAnsi="Arial" w:cs="Arial"/>
                <w:color w:val="000000" w:themeColor="text1"/>
              </w:rPr>
              <w:t xml:space="preserve"> and Module Coordinators are expected to check </w:t>
            </w:r>
            <w:proofErr w:type="spellStart"/>
            <w:r w:rsidR="0082378A">
              <w:rPr>
                <w:rFonts w:ascii="Arial" w:eastAsia="Calibri" w:hAnsi="Arial" w:cs="Arial"/>
                <w:color w:val="000000" w:themeColor="text1"/>
              </w:rPr>
              <w:t>LiftUpp</w:t>
            </w:r>
            <w:proofErr w:type="spellEnd"/>
            <w:r w:rsidR="0082378A">
              <w:rPr>
                <w:rFonts w:ascii="Arial" w:eastAsia="Calibri" w:hAnsi="Arial" w:cs="Arial"/>
                <w:color w:val="000000" w:themeColor="text1"/>
              </w:rPr>
              <w:t xml:space="preserve"> against the</w:t>
            </w:r>
            <w:r w:rsidR="00A74B41">
              <w:rPr>
                <w:rFonts w:ascii="Arial" w:eastAsia="Calibri" w:hAnsi="Arial" w:cs="Arial"/>
                <w:color w:val="000000" w:themeColor="text1"/>
              </w:rPr>
              <w:t>ir module-specific outcomes at least three times a year.</w:t>
            </w:r>
            <w:r w:rsidR="0021649C">
              <w:rPr>
                <w:rFonts w:ascii="Arial" w:eastAsia="Calibri" w:hAnsi="Arial" w:cs="Arial"/>
                <w:color w:val="000000" w:themeColor="text1"/>
              </w:rPr>
              <w:t xml:space="preserve"> All clinical staff have access to the system.</w:t>
            </w:r>
          </w:p>
          <w:p w14:paraId="6175A9EF" w14:textId="77777777" w:rsidR="00BE1E12" w:rsidRDefault="00BE1E12" w:rsidP="00A759EC">
            <w:pPr>
              <w:tabs>
                <w:tab w:val="left" w:pos="720"/>
                <w:tab w:val="left" w:pos="9248"/>
              </w:tabs>
              <w:rPr>
                <w:rFonts w:ascii="Arial" w:eastAsia="Calibri" w:hAnsi="Arial" w:cs="Arial"/>
                <w:color w:val="000000" w:themeColor="text1"/>
              </w:rPr>
            </w:pPr>
          </w:p>
          <w:p w14:paraId="2FE336AC" w14:textId="67C34A20" w:rsidR="00BE1E12" w:rsidRDefault="00BE1E12"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A separate system</w:t>
            </w:r>
            <w:r w:rsidR="00EA565F">
              <w:rPr>
                <w:rFonts w:ascii="Arial" w:eastAsia="Calibri" w:hAnsi="Arial" w:cs="Arial"/>
                <w:color w:val="000000" w:themeColor="text1"/>
              </w:rPr>
              <w:t xml:space="preserve">, SITS, is utilised for summative assessment data, which is gathered ahead of Module Assessment Board and </w:t>
            </w:r>
            <w:r w:rsidR="00FA0E7D">
              <w:rPr>
                <w:rFonts w:ascii="Arial" w:eastAsia="Calibri" w:hAnsi="Arial" w:cs="Arial"/>
                <w:color w:val="000000" w:themeColor="text1"/>
              </w:rPr>
              <w:t>Board of Examiner meetings.</w:t>
            </w:r>
          </w:p>
          <w:p w14:paraId="5E42A2EC" w14:textId="77777777" w:rsidR="006F5EAE" w:rsidRDefault="006F5EAE" w:rsidP="00A759EC">
            <w:pPr>
              <w:tabs>
                <w:tab w:val="left" w:pos="720"/>
                <w:tab w:val="left" w:pos="9248"/>
              </w:tabs>
              <w:rPr>
                <w:rFonts w:ascii="Arial" w:eastAsia="Calibri" w:hAnsi="Arial" w:cs="Arial"/>
                <w:color w:val="000000" w:themeColor="text1"/>
              </w:rPr>
            </w:pPr>
          </w:p>
          <w:p w14:paraId="190EF4E2" w14:textId="70FF181E" w:rsidR="00F14717" w:rsidRDefault="00FA0E7D"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panel found the </w:t>
            </w:r>
            <w:r w:rsidR="0014163F">
              <w:rPr>
                <w:rFonts w:ascii="Arial" w:eastAsia="Calibri" w:hAnsi="Arial" w:cs="Arial"/>
                <w:color w:val="000000" w:themeColor="text1"/>
              </w:rPr>
              <w:t>Requirement to be met.</w:t>
            </w:r>
          </w:p>
          <w:p w14:paraId="2275EE4A" w14:textId="77777777" w:rsidR="00FA0E7D" w:rsidRDefault="00FA0E7D" w:rsidP="00A759EC">
            <w:pPr>
              <w:tabs>
                <w:tab w:val="left" w:pos="720"/>
                <w:tab w:val="left" w:pos="9248"/>
              </w:tabs>
              <w:rPr>
                <w:rFonts w:ascii="Arial" w:eastAsia="Calibri" w:hAnsi="Arial" w:cs="Arial"/>
                <w:color w:val="000000" w:themeColor="text1"/>
              </w:rPr>
            </w:pPr>
          </w:p>
          <w:p w14:paraId="128E3ACF" w14:textId="77777777" w:rsidR="007B1468" w:rsidRPr="0084743E" w:rsidRDefault="007B1468" w:rsidP="00A759EC">
            <w:pPr>
              <w:tabs>
                <w:tab w:val="left" w:pos="720"/>
                <w:tab w:val="left" w:pos="9248"/>
              </w:tabs>
              <w:rPr>
                <w:rFonts w:ascii="Arial" w:eastAsia="Calibri" w:hAnsi="Arial" w:cs="Arial"/>
                <w:color w:val="000000" w:themeColor="text1"/>
              </w:rPr>
            </w:pPr>
          </w:p>
          <w:p w14:paraId="24ADC03A" w14:textId="0FFC1B86" w:rsidR="00E2148E" w:rsidRPr="0084743E" w:rsidRDefault="00E2148E" w:rsidP="00A759EC">
            <w:pPr>
              <w:tabs>
                <w:tab w:val="left" w:pos="720"/>
                <w:tab w:val="left" w:pos="9248"/>
              </w:tabs>
              <w:rPr>
                <w:rFonts w:ascii="Helvetica" w:hAnsi="Helvetica" w:cs="Helvetica"/>
                <w:color w:val="000000" w:themeColor="text1"/>
              </w:rPr>
            </w:pPr>
            <w:r w:rsidRPr="0084743E">
              <w:rPr>
                <w:rFonts w:ascii="Arial" w:eastAsia="Calibri" w:hAnsi="Arial" w:cs="Arial"/>
                <w:b/>
                <w:color w:val="000000" w:themeColor="text1"/>
              </w:rPr>
              <w:t xml:space="preserve">Requirement 15: Students must have exposure to an appropriate breadth of patients/procedures and should undertake each activity relating to patient care on sufficient occasions to enable them to develop the skills and the level of competency to achieve the relevant GDC learning outcomes. </w:t>
            </w:r>
            <w:r w:rsidRPr="0084743E">
              <w:rPr>
                <w:rFonts w:ascii="Arial" w:eastAsia="Calibri" w:hAnsi="Arial" w:cs="Arial"/>
                <w:b/>
                <w:i/>
                <w:color w:val="000000" w:themeColor="text1"/>
              </w:rPr>
              <w:t>(</w:t>
            </w:r>
            <w:r w:rsidRPr="00BA0743">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38B4315C" w14:textId="77777777" w:rsidR="00E2148E" w:rsidRDefault="00E2148E" w:rsidP="00A759EC">
            <w:pPr>
              <w:tabs>
                <w:tab w:val="left" w:pos="720"/>
                <w:tab w:val="left" w:pos="9248"/>
              </w:tabs>
              <w:rPr>
                <w:rFonts w:ascii="Helvetica" w:hAnsi="Helvetica" w:cs="Helvetica"/>
                <w:color w:val="000000" w:themeColor="text1"/>
              </w:rPr>
            </w:pPr>
          </w:p>
          <w:p w14:paraId="3C3473E5" w14:textId="19153613" w:rsidR="008D0CC0" w:rsidRDefault="006B5251" w:rsidP="00A759EC">
            <w:pPr>
              <w:tabs>
                <w:tab w:val="left" w:pos="720"/>
                <w:tab w:val="left" w:pos="9248"/>
              </w:tabs>
              <w:rPr>
                <w:rFonts w:ascii="Helvetica" w:hAnsi="Helvetica" w:cs="Helvetica"/>
                <w:color w:val="000000" w:themeColor="text1"/>
              </w:rPr>
            </w:pPr>
            <w:r>
              <w:rPr>
                <w:rFonts w:ascii="Helvetica" w:hAnsi="Helvetica" w:cs="Helvetica"/>
                <w:color w:val="000000" w:themeColor="text1"/>
              </w:rPr>
              <w:t xml:space="preserve">Benchmarks were introduced as a response to COVID-19 to ensure that students achieved a proportionate </w:t>
            </w:r>
            <w:r w:rsidR="00482D08">
              <w:rPr>
                <w:rFonts w:ascii="Helvetica" w:hAnsi="Helvetica" w:cs="Helvetica"/>
                <w:color w:val="000000" w:themeColor="text1"/>
              </w:rPr>
              <w:t xml:space="preserve">amount of clinical activity based on what was available at that time. Since the end of the pandemic, the provider has continued to utilise benchmarks </w:t>
            </w:r>
            <w:r w:rsidR="00E45C96">
              <w:rPr>
                <w:rFonts w:ascii="Helvetica" w:hAnsi="Helvetica" w:cs="Helvetica"/>
                <w:color w:val="000000" w:themeColor="text1"/>
              </w:rPr>
              <w:t xml:space="preserve">while they wait for a ‘stable’ year when the approximate patient flow is </w:t>
            </w:r>
            <w:r w:rsidR="0093315A">
              <w:rPr>
                <w:rFonts w:ascii="Helvetica" w:hAnsi="Helvetica" w:cs="Helvetica"/>
                <w:color w:val="000000" w:themeColor="text1"/>
              </w:rPr>
              <w:t>known,</w:t>
            </w:r>
            <w:r w:rsidR="00E45C96">
              <w:rPr>
                <w:rFonts w:ascii="Helvetica" w:hAnsi="Helvetica" w:cs="Helvetica"/>
                <w:color w:val="000000" w:themeColor="text1"/>
              </w:rPr>
              <w:t xml:space="preserve"> and more static </w:t>
            </w:r>
            <w:r w:rsidR="0099377A">
              <w:rPr>
                <w:rFonts w:ascii="Helvetica" w:hAnsi="Helvetica" w:cs="Helvetica"/>
                <w:color w:val="000000" w:themeColor="text1"/>
              </w:rPr>
              <w:t>clinical targets can be created. The benchmarks have changed since the pandemic, being updated year-on-year based on the average student experience for each activity type i</w:t>
            </w:r>
            <w:r w:rsidR="00155B96">
              <w:rPr>
                <w:rFonts w:ascii="Helvetica" w:hAnsi="Helvetica" w:cs="Helvetica"/>
                <w:color w:val="000000" w:themeColor="text1"/>
              </w:rPr>
              <w:t>n the previous cohort.</w:t>
            </w:r>
          </w:p>
          <w:p w14:paraId="303146E0" w14:textId="77777777" w:rsidR="00155B96" w:rsidRDefault="00155B96" w:rsidP="00A759EC">
            <w:pPr>
              <w:tabs>
                <w:tab w:val="left" w:pos="720"/>
                <w:tab w:val="left" w:pos="9248"/>
              </w:tabs>
              <w:rPr>
                <w:rFonts w:ascii="Helvetica" w:hAnsi="Helvetica" w:cs="Helvetica"/>
                <w:color w:val="000000" w:themeColor="text1"/>
              </w:rPr>
            </w:pPr>
          </w:p>
          <w:p w14:paraId="500106DA" w14:textId="4A03C613" w:rsidR="00155B96" w:rsidRDefault="00155B96" w:rsidP="00A759EC">
            <w:pPr>
              <w:tabs>
                <w:tab w:val="left" w:pos="720"/>
                <w:tab w:val="left" w:pos="9248"/>
              </w:tabs>
              <w:rPr>
                <w:rFonts w:ascii="Helvetica" w:hAnsi="Helvetica" w:cs="Helvetica"/>
                <w:color w:val="000000" w:themeColor="text1"/>
              </w:rPr>
            </w:pPr>
            <w:r>
              <w:rPr>
                <w:rFonts w:ascii="Helvetica" w:hAnsi="Helvetica" w:cs="Helvetica"/>
                <w:color w:val="000000" w:themeColor="text1"/>
              </w:rPr>
              <w:t xml:space="preserve">Work is ongoing to increase </w:t>
            </w:r>
            <w:r w:rsidR="00D91C1E">
              <w:rPr>
                <w:rFonts w:ascii="Helvetica" w:hAnsi="Helvetica" w:cs="Helvetica"/>
                <w:color w:val="000000" w:themeColor="text1"/>
              </w:rPr>
              <w:t xml:space="preserve">patient flow through the student clinics. The School holds an NHS contract to provide dental </w:t>
            </w:r>
            <w:r w:rsidR="0093315A">
              <w:rPr>
                <w:rFonts w:ascii="Helvetica" w:hAnsi="Helvetica" w:cs="Helvetica"/>
                <w:color w:val="000000" w:themeColor="text1"/>
              </w:rPr>
              <w:t>services,</w:t>
            </w:r>
            <w:r w:rsidR="00D91C1E">
              <w:rPr>
                <w:rFonts w:ascii="Helvetica" w:hAnsi="Helvetica" w:cs="Helvetica"/>
                <w:color w:val="000000" w:themeColor="text1"/>
              </w:rPr>
              <w:t xml:space="preserve"> and this has limited their ability to off-board patients that no longer require treatment </w:t>
            </w:r>
            <w:r w:rsidR="00B9447F">
              <w:rPr>
                <w:rFonts w:ascii="Helvetica" w:hAnsi="Helvetica" w:cs="Helvetica"/>
                <w:color w:val="000000" w:themeColor="text1"/>
              </w:rPr>
              <w:t xml:space="preserve">at a level to further students’ learning. </w:t>
            </w:r>
            <w:r w:rsidR="00E80631">
              <w:rPr>
                <w:rFonts w:ascii="Helvetica" w:hAnsi="Helvetica" w:cs="Helvetica"/>
                <w:color w:val="000000" w:themeColor="text1"/>
              </w:rPr>
              <w:t xml:space="preserve">This work is ongoing </w:t>
            </w:r>
            <w:r w:rsidR="00B0276F">
              <w:rPr>
                <w:rFonts w:ascii="Helvetica" w:hAnsi="Helvetica" w:cs="Helvetica"/>
                <w:color w:val="000000" w:themeColor="text1"/>
              </w:rPr>
              <w:t>as a larger patient flow project which is supported by monthly meetings.</w:t>
            </w:r>
            <w:r w:rsidR="00DD406F">
              <w:rPr>
                <w:rFonts w:ascii="Helvetica" w:hAnsi="Helvetica" w:cs="Helvetica"/>
                <w:color w:val="000000" w:themeColor="text1"/>
              </w:rPr>
              <w:t xml:space="preserve"> Module Coordinators are also responsible </w:t>
            </w:r>
            <w:r w:rsidR="00835215">
              <w:rPr>
                <w:rFonts w:ascii="Helvetica" w:hAnsi="Helvetica" w:cs="Helvetica"/>
                <w:color w:val="000000" w:themeColor="text1"/>
              </w:rPr>
              <w:t>for identifying those students who are lacking in a particular activity type highlighting this with the administration team to ensure that those students get the experience they require. Those students with whom the panel met reported some mixed results in how easily they got the kinds of patients they needed</w:t>
            </w:r>
            <w:r w:rsidR="003E6929">
              <w:rPr>
                <w:rFonts w:ascii="Helvetica" w:hAnsi="Helvetica" w:cs="Helvetica"/>
                <w:color w:val="000000" w:themeColor="text1"/>
              </w:rPr>
              <w:t xml:space="preserve"> but the student data reviewed showed a healthy completion of the benchmarks to date.</w:t>
            </w:r>
          </w:p>
          <w:p w14:paraId="7F8869DE" w14:textId="77777777" w:rsidR="00235015" w:rsidRDefault="00235015" w:rsidP="00A759EC">
            <w:pPr>
              <w:tabs>
                <w:tab w:val="left" w:pos="720"/>
                <w:tab w:val="left" w:pos="9248"/>
              </w:tabs>
              <w:rPr>
                <w:rFonts w:ascii="Helvetica" w:hAnsi="Helvetica" w:cs="Helvetica"/>
                <w:color w:val="000000" w:themeColor="text1"/>
              </w:rPr>
            </w:pPr>
          </w:p>
          <w:p w14:paraId="0757A616" w14:textId="77F869B4" w:rsidR="00235015" w:rsidRDefault="00235015" w:rsidP="00A759EC">
            <w:pPr>
              <w:tabs>
                <w:tab w:val="left" w:pos="720"/>
                <w:tab w:val="left" w:pos="9248"/>
              </w:tabs>
              <w:rPr>
                <w:rFonts w:ascii="Helvetica" w:hAnsi="Helvetica" w:cs="Helvetica"/>
                <w:color w:val="000000" w:themeColor="text1"/>
              </w:rPr>
            </w:pPr>
            <w:r>
              <w:rPr>
                <w:rFonts w:ascii="Helvetica" w:hAnsi="Helvetica" w:cs="Helvetica"/>
                <w:color w:val="000000" w:themeColor="text1"/>
              </w:rPr>
              <w:t xml:space="preserve">The panel recognised that patient flow is an issue for all providers but found that the School was doing </w:t>
            </w:r>
            <w:r w:rsidR="00BA0743">
              <w:rPr>
                <w:rFonts w:ascii="Helvetica" w:hAnsi="Helvetica" w:cs="Helvetica"/>
                <w:color w:val="000000" w:themeColor="text1"/>
              </w:rPr>
              <w:t>what it could to ease the situation. The Requirement is met.</w:t>
            </w:r>
          </w:p>
          <w:p w14:paraId="43F60D9E" w14:textId="77777777" w:rsidR="008D0CC0" w:rsidRPr="0084743E" w:rsidRDefault="008D0CC0" w:rsidP="00A759EC">
            <w:pPr>
              <w:tabs>
                <w:tab w:val="left" w:pos="720"/>
                <w:tab w:val="left" w:pos="9248"/>
              </w:tabs>
              <w:rPr>
                <w:rFonts w:ascii="Helvetica" w:hAnsi="Helvetica" w:cs="Helvetica"/>
                <w:color w:val="000000" w:themeColor="text1"/>
              </w:rPr>
            </w:pPr>
          </w:p>
          <w:p w14:paraId="06C6C794" w14:textId="77777777" w:rsidR="00F14717" w:rsidRPr="00F14717" w:rsidRDefault="00F14717" w:rsidP="00F14717">
            <w:pPr>
              <w:tabs>
                <w:tab w:val="left" w:pos="720"/>
                <w:tab w:val="left" w:pos="9248"/>
              </w:tabs>
              <w:rPr>
                <w:rFonts w:ascii="Arial" w:eastAsia="Calibri" w:hAnsi="Arial" w:cs="Arial"/>
                <w:bCs/>
                <w:iCs/>
                <w:color w:val="000000" w:themeColor="text1"/>
              </w:rPr>
            </w:pPr>
          </w:p>
          <w:p w14:paraId="03BD561A" w14:textId="473FE95F" w:rsidR="00E2148E" w:rsidRPr="0084743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Requirement 16: Providers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 (</w:t>
            </w:r>
            <w:r w:rsidRPr="00A45E3A">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119CE503" w14:textId="77777777" w:rsidR="00E2148E" w:rsidRDefault="00E2148E" w:rsidP="00A759EC">
            <w:pPr>
              <w:tabs>
                <w:tab w:val="left" w:pos="720"/>
                <w:tab w:val="left" w:pos="9248"/>
              </w:tabs>
              <w:rPr>
                <w:rFonts w:ascii="Arial" w:eastAsia="Calibri" w:hAnsi="Arial" w:cs="Arial"/>
                <w:b/>
                <w:color w:val="000000" w:themeColor="text1"/>
              </w:rPr>
            </w:pPr>
          </w:p>
          <w:p w14:paraId="36F150A0" w14:textId="1B2C092C" w:rsidR="002F7A0D" w:rsidRDefault="003A44A1" w:rsidP="00A759EC">
            <w:pPr>
              <w:tabs>
                <w:tab w:val="left" w:pos="720"/>
                <w:tab w:val="left" w:pos="9248"/>
              </w:tabs>
              <w:rPr>
                <w:rFonts w:ascii="Arial" w:eastAsia="Calibri" w:hAnsi="Arial" w:cs="Arial"/>
                <w:bCs/>
                <w:color w:val="000000" w:themeColor="text1"/>
              </w:rPr>
            </w:pPr>
            <w:r>
              <w:rPr>
                <w:rFonts w:ascii="Arial" w:eastAsia="Calibri" w:hAnsi="Arial" w:cs="Arial"/>
                <w:bCs/>
                <w:color w:val="000000" w:themeColor="text1"/>
              </w:rPr>
              <w:t xml:space="preserve">Assessments </w:t>
            </w:r>
            <w:r w:rsidR="00E14A91">
              <w:rPr>
                <w:rFonts w:ascii="Arial" w:eastAsia="Calibri" w:hAnsi="Arial" w:cs="Arial"/>
                <w:bCs/>
                <w:color w:val="000000" w:themeColor="text1"/>
              </w:rPr>
              <w:t xml:space="preserve">must progress through </w:t>
            </w:r>
            <w:proofErr w:type="gramStart"/>
            <w:r w:rsidR="00E14A91">
              <w:rPr>
                <w:rFonts w:ascii="Arial" w:eastAsia="Calibri" w:hAnsi="Arial" w:cs="Arial"/>
                <w:bCs/>
                <w:color w:val="000000" w:themeColor="text1"/>
              </w:rPr>
              <w:t>a number of</w:t>
            </w:r>
            <w:proofErr w:type="gramEnd"/>
            <w:r w:rsidR="00E14A91">
              <w:rPr>
                <w:rFonts w:ascii="Arial" w:eastAsia="Calibri" w:hAnsi="Arial" w:cs="Arial"/>
                <w:bCs/>
                <w:color w:val="000000" w:themeColor="text1"/>
              </w:rPr>
              <w:t xml:space="preserve"> steps before being used for students. Module Coordinators must conduct </w:t>
            </w:r>
            <w:r w:rsidR="00D26D35">
              <w:rPr>
                <w:rFonts w:ascii="Arial" w:eastAsia="Calibri" w:hAnsi="Arial" w:cs="Arial"/>
                <w:bCs/>
                <w:color w:val="000000" w:themeColor="text1"/>
              </w:rPr>
              <w:t>a peer review and submit a module assessment along with supporting documentation to the Assessment Panel.</w:t>
            </w:r>
            <w:r w:rsidR="00253F6C">
              <w:rPr>
                <w:rFonts w:ascii="Arial" w:eastAsia="Calibri" w:hAnsi="Arial" w:cs="Arial"/>
                <w:bCs/>
                <w:color w:val="000000" w:themeColor="text1"/>
              </w:rPr>
              <w:t xml:space="preserve"> Here, the assessments are </w:t>
            </w:r>
            <w:r w:rsidR="0093315A">
              <w:rPr>
                <w:rFonts w:ascii="Arial" w:eastAsia="Calibri" w:hAnsi="Arial" w:cs="Arial"/>
                <w:bCs/>
                <w:color w:val="000000" w:themeColor="text1"/>
              </w:rPr>
              <w:t>checked,</w:t>
            </w:r>
            <w:r w:rsidR="00253F6C">
              <w:rPr>
                <w:rFonts w:ascii="Arial" w:eastAsia="Calibri" w:hAnsi="Arial" w:cs="Arial"/>
                <w:bCs/>
                <w:color w:val="000000" w:themeColor="text1"/>
              </w:rPr>
              <w:t xml:space="preserve"> and the methods of standard setting are discussed. </w:t>
            </w:r>
            <w:r w:rsidR="00463F4F">
              <w:rPr>
                <w:rFonts w:ascii="Arial" w:eastAsia="Calibri" w:hAnsi="Arial" w:cs="Arial"/>
                <w:bCs/>
                <w:color w:val="000000" w:themeColor="text1"/>
              </w:rPr>
              <w:t>An Assessment Artefact Moderation Form is used to track the assessment through the approval process.</w:t>
            </w:r>
            <w:r w:rsidR="00470059">
              <w:rPr>
                <w:rFonts w:ascii="Arial" w:eastAsia="Calibri" w:hAnsi="Arial" w:cs="Arial"/>
                <w:bCs/>
                <w:color w:val="000000" w:themeColor="text1"/>
              </w:rPr>
              <w:t xml:space="preserve"> Module Coordinators are encouraged to seek and use feedback from external examiners to inform and support the proposed assessments.</w:t>
            </w:r>
          </w:p>
          <w:p w14:paraId="5E48A36E" w14:textId="77777777" w:rsidR="00470059" w:rsidRDefault="00470059" w:rsidP="00A759EC">
            <w:pPr>
              <w:tabs>
                <w:tab w:val="left" w:pos="720"/>
                <w:tab w:val="left" w:pos="9248"/>
              </w:tabs>
              <w:rPr>
                <w:rFonts w:ascii="Arial" w:eastAsia="Calibri" w:hAnsi="Arial" w:cs="Arial"/>
                <w:bCs/>
                <w:color w:val="000000" w:themeColor="text1"/>
              </w:rPr>
            </w:pPr>
          </w:p>
          <w:p w14:paraId="17991A91" w14:textId="4E75B038" w:rsidR="00470059" w:rsidRDefault="00DC7A0C" w:rsidP="00A759EC">
            <w:pPr>
              <w:tabs>
                <w:tab w:val="left" w:pos="720"/>
                <w:tab w:val="left" w:pos="9248"/>
              </w:tabs>
              <w:rPr>
                <w:rFonts w:ascii="Arial" w:eastAsia="Calibri" w:hAnsi="Arial" w:cs="Arial"/>
                <w:bCs/>
                <w:color w:val="000000" w:themeColor="text1"/>
              </w:rPr>
            </w:pPr>
            <w:r>
              <w:rPr>
                <w:rFonts w:ascii="Arial" w:eastAsia="Calibri" w:hAnsi="Arial" w:cs="Arial"/>
                <w:bCs/>
                <w:color w:val="000000" w:themeColor="text1"/>
              </w:rPr>
              <w:t xml:space="preserve">The School is actively </w:t>
            </w:r>
            <w:r w:rsidR="00844E7E">
              <w:rPr>
                <w:rFonts w:ascii="Arial" w:eastAsia="Calibri" w:hAnsi="Arial" w:cs="Arial"/>
                <w:bCs/>
                <w:color w:val="000000" w:themeColor="text1"/>
              </w:rPr>
              <w:t xml:space="preserve">building a data set </w:t>
            </w:r>
            <w:r w:rsidR="0017042B">
              <w:rPr>
                <w:rFonts w:ascii="Arial" w:eastAsia="Calibri" w:hAnsi="Arial" w:cs="Arial"/>
                <w:bCs/>
                <w:color w:val="000000" w:themeColor="text1"/>
              </w:rPr>
              <w:t>of</w:t>
            </w:r>
            <w:r w:rsidR="00CC30AC">
              <w:rPr>
                <w:rFonts w:ascii="Arial" w:eastAsia="Calibri" w:hAnsi="Arial" w:cs="Arial"/>
                <w:bCs/>
                <w:color w:val="000000" w:themeColor="text1"/>
              </w:rPr>
              <w:t xml:space="preserve"> how specific questions in assessments </w:t>
            </w:r>
            <w:r w:rsidR="0017042B">
              <w:rPr>
                <w:rFonts w:ascii="Arial" w:eastAsia="Calibri" w:hAnsi="Arial" w:cs="Arial"/>
                <w:bCs/>
                <w:color w:val="000000" w:themeColor="text1"/>
              </w:rPr>
              <w:t>perform and hope to use that information moving forward</w:t>
            </w:r>
            <w:r w:rsidR="00D820B9">
              <w:rPr>
                <w:rFonts w:ascii="Arial" w:eastAsia="Calibri" w:hAnsi="Arial" w:cs="Arial"/>
                <w:bCs/>
                <w:color w:val="000000" w:themeColor="text1"/>
              </w:rPr>
              <w:t xml:space="preserve">. </w:t>
            </w:r>
            <w:r w:rsidR="00316C7A">
              <w:rPr>
                <w:rFonts w:ascii="Arial" w:eastAsia="Calibri" w:hAnsi="Arial" w:cs="Arial"/>
                <w:bCs/>
                <w:color w:val="000000" w:themeColor="text1"/>
              </w:rPr>
              <w:t xml:space="preserve">Currently, there are moderation processes and the use of </w:t>
            </w:r>
            <w:r w:rsidR="00C15CFB">
              <w:rPr>
                <w:rFonts w:ascii="Arial" w:eastAsia="Calibri" w:hAnsi="Arial" w:cs="Arial"/>
                <w:bCs/>
                <w:color w:val="000000" w:themeColor="text1"/>
              </w:rPr>
              <w:t xml:space="preserve">marking criteria and schemes </w:t>
            </w:r>
            <w:r w:rsidR="000F05B8">
              <w:rPr>
                <w:rFonts w:ascii="Arial" w:eastAsia="Calibri" w:hAnsi="Arial" w:cs="Arial"/>
                <w:bCs/>
                <w:color w:val="000000" w:themeColor="text1"/>
              </w:rPr>
              <w:t>to bring consistency to assessments. Feedback from external examiners is also used where appropriate.</w:t>
            </w:r>
          </w:p>
          <w:p w14:paraId="68237E96" w14:textId="77777777" w:rsidR="00A45E3A" w:rsidRDefault="00A45E3A" w:rsidP="00A759EC">
            <w:pPr>
              <w:tabs>
                <w:tab w:val="left" w:pos="720"/>
                <w:tab w:val="left" w:pos="9248"/>
              </w:tabs>
              <w:rPr>
                <w:rFonts w:ascii="Arial" w:eastAsia="Calibri" w:hAnsi="Arial" w:cs="Arial"/>
                <w:bCs/>
                <w:color w:val="000000" w:themeColor="text1"/>
              </w:rPr>
            </w:pPr>
          </w:p>
          <w:p w14:paraId="305EF423" w14:textId="2C05224E" w:rsidR="00A45E3A" w:rsidRPr="00EC6E7E" w:rsidRDefault="00A45E3A" w:rsidP="00A759EC">
            <w:pPr>
              <w:tabs>
                <w:tab w:val="left" w:pos="720"/>
                <w:tab w:val="left" w:pos="9248"/>
              </w:tabs>
              <w:rPr>
                <w:rFonts w:ascii="Arial" w:eastAsia="Calibri" w:hAnsi="Arial" w:cs="Arial"/>
                <w:bCs/>
                <w:color w:val="000000" w:themeColor="text1"/>
              </w:rPr>
            </w:pPr>
            <w:r>
              <w:rPr>
                <w:rFonts w:ascii="Arial" w:eastAsia="Calibri" w:hAnsi="Arial" w:cs="Arial"/>
                <w:bCs/>
                <w:color w:val="000000" w:themeColor="text1"/>
              </w:rPr>
              <w:t>The Requirement is met.</w:t>
            </w:r>
          </w:p>
          <w:p w14:paraId="66645AD4" w14:textId="77777777" w:rsidR="002F7A0D" w:rsidRDefault="002F7A0D" w:rsidP="00A759EC">
            <w:pPr>
              <w:tabs>
                <w:tab w:val="left" w:pos="720"/>
                <w:tab w:val="left" w:pos="9248"/>
              </w:tabs>
              <w:rPr>
                <w:rFonts w:ascii="Arial" w:eastAsia="Calibri" w:hAnsi="Arial" w:cs="Arial"/>
                <w:b/>
                <w:color w:val="000000" w:themeColor="text1"/>
              </w:rPr>
            </w:pPr>
          </w:p>
          <w:p w14:paraId="79F946F1" w14:textId="77777777" w:rsidR="00F14717" w:rsidRPr="0084743E" w:rsidRDefault="00F14717" w:rsidP="00A759EC">
            <w:pPr>
              <w:tabs>
                <w:tab w:val="left" w:pos="720"/>
                <w:tab w:val="left" w:pos="9248"/>
              </w:tabs>
              <w:rPr>
                <w:rFonts w:ascii="Arial" w:eastAsia="Calibri" w:hAnsi="Arial" w:cs="Arial"/>
                <w:b/>
                <w:color w:val="000000" w:themeColor="text1"/>
              </w:rPr>
            </w:pPr>
          </w:p>
          <w:p w14:paraId="6D9B63E4" w14:textId="5B3C2D59" w:rsidR="00A45E3A" w:rsidRDefault="00E2148E" w:rsidP="009641AF">
            <w:pPr>
              <w:tabs>
                <w:tab w:val="left" w:pos="720"/>
                <w:tab w:val="left" w:pos="9248"/>
              </w:tabs>
              <w:rPr>
                <w:rFonts w:ascii="Helvetica" w:hAnsi="Helvetica" w:cs="Helvetica"/>
                <w:i/>
                <w:color w:val="000000" w:themeColor="text1"/>
              </w:rPr>
            </w:pPr>
            <w:r w:rsidRPr="0084743E">
              <w:rPr>
                <w:rFonts w:ascii="Arial" w:eastAsia="Calibri" w:hAnsi="Arial" w:cs="Arial"/>
                <w:b/>
                <w:color w:val="000000" w:themeColor="text1"/>
              </w:rPr>
              <w:t xml:space="preserve">Requirement 17: Assessment must utilise feedback collected from a variety of sources, which should include other members of the dental team, peers, patients and/or customers. </w:t>
            </w:r>
            <w:r w:rsidRPr="0084743E">
              <w:rPr>
                <w:rFonts w:ascii="Arial" w:eastAsia="Calibri" w:hAnsi="Arial" w:cs="Arial"/>
                <w:b/>
                <w:i/>
                <w:color w:val="000000" w:themeColor="text1"/>
              </w:rPr>
              <w:t>(</w:t>
            </w:r>
            <w:r w:rsidRPr="00564FC2">
              <w:rPr>
                <w:rFonts w:ascii="Arial" w:eastAsia="Calibri" w:hAnsi="Arial" w:cs="Arial"/>
                <w:b/>
                <w:i/>
                <w:color w:val="000000" w:themeColor="text1"/>
              </w:rPr>
              <w:t>Requirement Partly Met</w:t>
            </w:r>
            <w:r w:rsidRPr="0084743E">
              <w:rPr>
                <w:rFonts w:ascii="Arial" w:eastAsia="Calibri" w:hAnsi="Arial" w:cs="Arial"/>
                <w:b/>
                <w:i/>
                <w:color w:val="000000" w:themeColor="text1"/>
              </w:rPr>
              <w:t>)</w:t>
            </w:r>
          </w:p>
          <w:p w14:paraId="7B0F390E" w14:textId="77777777" w:rsidR="009641AF" w:rsidRDefault="009641AF" w:rsidP="009641AF">
            <w:pPr>
              <w:tabs>
                <w:tab w:val="left" w:pos="720"/>
                <w:tab w:val="left" w:pos="9248"/>
              </w:tabs>
              <w:rPr>
                <w:rFonts w:ascii="Helvetica" w:hAnsi="Helvetica" w:cs="Helvetica"/>
                <w:i/>
                <w:color w:val="000000" w:themeColor="text1"/>
              </w:rPr>
            </w:pPr>
          </w:p>
          <w:p w14:paraId="507D57C3" w14:textId="42F91A3E" w:rsidR="00564FC2" w:rsidRDefault="00351990" w:rsidP="009641AF">
            <w:pPr>
              <w:tabs>
                <w:tab w:val="left" w:pos="720"/>
                <w:tab w:val="left" w:pos="9248"/>
              </w:tabs>
              <w:rPr>
                <w:rFonts w:ascii="Arial" w:hAnsi="Arial" w:cs="Arial"/>
                <w:iCs/>
                <w:color w:val="000000" w:themeColor="text1"/>
              </w:rPr>
            </w:pPr>
            <w:r>
              <w:rPr>
                <w:rFonts w:ascii="Arial" w:hAnsi="Arial" w:cs="Arial"/>
                <w:iCs/>
                <w:color w:val="000000" w:themeColor="text1"/>
              </w:rPr>
              <w:t xml:space="preserve">The provider has several exceptional feedback mechanisms in place. </w:t>
            </w:r>
            <w:r w:rsidR="00C82B45">
              <w:rPr>
                <w:rFonts w:ascii="Arial" w:hAnsi="Arial" w:cs="Arial"/>
                <w:iCs/>
                <w:color w:val="000000" w:themeColor="text1"/>
              </w:rPr>
              <w:t>Module Coordinators are responsible for gathering and utilising feedback</w:t>
            </w:r>
            <w:r w:rsidR="00166237">
              <w:rPr>
                <w:rFonts w:ascii="Arial" w:hAnsi="Arial" w:cs="Arial"/>
                <w:iCs/>
                <w:color w:val="000000" w:themeColor="text1"/>
              </w:rPr>
              <w:t xml:space="preserve"> to improve their modules, and clinical feedback </w:t>
            </w:r>
            <w:r w:rsidR="00166237">
              <w:rPr>
                <w:rFonts w:ascii="Arial" w:hAnsi="Arial" w:cs="Arial"/>
                <w:iCs/>
                <w:color w:val="000000" w:themeColor="text1"/>
              </w:rPr>
              <w:lastRenderedPageBreak/>
              <w:t xml:space="preserve">for students is added directly onto </w:t>
            </w:r>
            <w:proofErr w:type="spellStart"/>
            <w:r w:rsidR="00166237">
              <w:rPr>
                <w:rFonts w:ascii="Arial" w:hAnsi="Arial" w:cs="Arial"/>
                <w:iCs/>
                <w:color w:val="000000" w:themeColor="text1"/>
              </w:rPr>
              <w:t>LiftUpp</w:t>
            </w:r>
            <w:proofErr w:type="spellEnd"/>
            <w:r w:rsidR="00166237">
              <w:rPr>
                <w:rFonts w:ascii="Arial" w:hAnsi="Arial" w:cs="Arial"/>
                <w:iCs/>
                <w:color w:val="000000" w:themeColor="text1"/>
              </w:rPr>
              <w:t xml:space="preserve"> and considered at key progression points.</w:t>
            </w:r>
            <w:r w:rsidR="009465EF">
              <w:rPr>
                <w:rFonts w:ascii="Arial" w:hAnsi="Arial" w:cs="Arial"/>
                <w:iCs/>
                <w:color w:val="000000" w:themeColor="text1"/>
              </w:rPr>
              <w:t xml:space="preserve"> Students receive 360</w:t>
            </w:r>
            <w:r w:rsidR="00564FC2">
              <w:rPr>
                <w:rFonts w:ascii="Arial" w:hAnsi="Arial" w:cs="Arial"/>
                <w:iCs/>
                <w:color w:val="000000" w:themeColor="text1"/>
              </w:rPr>
              <w:t xml:space="preserve">° feedback in practice from peers, </w:t>
            </w:r>
            <w:proofErr w:type="gramStart"/>
            <w:r w:rsidR="00564FC2">
              <w:rPr>
                <w:rFonts w:ascii="Arial" w:hAnsi="Arial" w:cs="Arial"/>
                <w:iCs/>
                <w:color w:val="000000" w:themeColor="text1"/>
              </w:rPr>
              <w:t>supervisors</w:t>
            </w:r>
            <w:proofErr w:type="gramEnd"/>
            <w:r w:rsidR="00564FC2">
              <w:rPr>
                <w:rFonts w:ascii="Arial" w:hAnsi="Arial" w:cs="Arial"/>
                <w:iCs/>
                <w:color w:val="000000" w:themeColor="text1"/>
              </w:rPr>
              <w:t xml:space="preserve"> and patients. Obtaining such feedback is a requirement of their summative portfolios. Meetings have been convened with external stakeholders, including a Community Conversation event where the public could come into the dental academy and speak to staff. The panel found that all these mechanisms are to be commended, especially the use of peer feedback.</w:t>
            </w:r>
          </w:p>
          <w:p w14:paraId="1F1FE124" w14:textId="77777777" w:rsidR="00564FC2" w:rsidRDefault="00564FC2" w:rsidP="009641AF">
            <w:pPr>
              <w:tabs>
                <w:tab w:val="left" w:pos="720"/>
                <w:tab w:val="left" w:pos="9248"/>
              </w:tabs>
              <w:rPr>
                <w:rFonts w:ascii="Arial" w:hAnsi="Arial" w:cs="Arial"/>
                <w:iCs/>
                <w:color w:val="000000" w:themeColor="text1"/>
              </w:rPr>
            </w:pPr>
          </w:p>
          <w:p w14:paraId="7A9FC0C7" w14:textId="7665907D" w:rsidR="00564FC2" w:rsidRPr="009641AF" w:rsidRDefault="00564FC2" w:rsidP="009641AF">
            <w:pPr>
              <w:tabs>
                <w:tab w:val="left" w:pos="720"/>
                <w:tab w:val="left" w:pos="9248"/>
              </w:tabs>
              <w:rPr>
                <w:rFonts w:ascii="Arial" w:hAnsi="Arial" w:cs="Arial"/>
                <w:iCs/>
                <w:color w:val="000000" w:themeColor="text1"/>
              </w:rPr>
            </w:pPr>
            <w:r>
              <w:rPr>
                <w:rFonts w:ascii="Arial" w:hAnsi="Arial" w:cs="Arial"/>
                <w:iCs/>
                <w:color w:val="000000" w:themeColor="text1"/>
              </w:rPr>
              <w:t xml:space="preserve">As with </w:t>
            </w:r>
            <w:proofErr w:type="gramStart"/>
            <w:r>
              <w:rPr>
                <w:rFonts w:ascii="Arial" w:hAnsi="Arial" w:cs="Arial"/>
                <w:iCs/>
                <w:color w:val="000000" w:themeColor="text1"/>
              </w:rPr>
              <w:t>the majority of</w:t>
            </w:r>
            <w:proofErr w:type="gramEnd"/>
            <w:r>
              <w:rPr>
                <w:rFonts w:ascii="Arial" w:hAnsi="Arial" w:cs="Arial"/>
                <w:iCs/>
                <w:color w:val="000000" w:themeColor="text1"/>
              </w:rPr>
              <w:t xml:space="preserve"> schools, the provider does struggle with using patient feedback in a meaningful way. Patient feedback did not appear to be detailed or used by the programme team as a quality assurance tool. The panel recognised the difficulties with achieving this element of the Requirement but ultimately had to find the Requirement to be partly met.</w:t>
            </w:r>
          </w:p>
          <w:p w14:paraId="1AFE9475" w14:textId="77777777" w:rsidR="00A45E3A" w:rsidRDefault="00A45E3A" w:rsidP="00A759EC">
            <w:pPr>
              <w:rPr>
                <w:rFonts w:ascii="Helvetica" w:hAnsi="Helvetica" w:cs="Helvetica"/>
                <w:color w:val="000000" w:themeColor="text1"/>
              </w:rPr>
            </w:pPr>
          </w:p>
          <w:p w14:paraId="1D98D3BC" w14:textId="77777777" w:rsidR="00F14717" w:rsidRPr="0084743E" w:rsidRDefault="00F14717" w:rsidP="00A759EC">
            <w:pPr>
              <w:rPr>
                <w:rFonts w:ascii="Helvetica" w:hAnsi="Helvetica" w:cs="Helvetica"/>
                <w:color w:val="000000" w:themeColor="text1"/>
              </w:rPr>
            </w:pPr>
          </w:p>
          <w:p w14:paraId="04E55FE7" w14:textId="085B4550" w:rsidR="00E2148E" w:rsidRPr="0084743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 xml:space="preserve">Requirement 18: The provider must support students to improve their performance by providing regular feedback and by encouraging students to reflect on their practice. </w:t>
            </w:r>
            <w:r w:rsidRPr="0084743E">
              <w:rPr>
                <w:rFonts w:ascii="Arial" w:eastAsia="Calibri" w:hAnsi="Arial" w:cs="Arial"/>
                <w:b/>
                <w:i/>
                <w:color w:val="000000" w:themeColor="text1"/>
              </w:rPr>
              <w:t>(</w:t>
            </w:r>
            <w:r w:rsidRPr="007B1468">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6E9CE27A" w14:textId="77777777" w:rsidR="00E2148E" w:rsidRDefault="00E2148E" w:rsidP="00A759EC">
            <w:pPr>
              <w:tabs>
                <w:tab w:val="left" w:pos="720"/>
                <w:tab w:val="left" w:pos="9248"/>
              </w:tabs>
              <w:rPr>
                <w:rFonts w:ascii="Arial" w:eastAsia="Calibri" w:hAnsi="Arial" w:cs="Arial"/>
                <w:color w:val="000000" w:themeColor="text1"/>
              </w:rPr>
            </w:pPr>
          </w:p>
          <w:p w14:paraId="3E0EB062" w14:textId="60B6AB4B" w:rsidR="004C2BE9" w:rsidRDefault="003C7830"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Reflection is embedded throughout the programme and is a part of the 360° feedback tool. Students’ reflections also form part of any action plans required. Clinical SWOT analysis is required at the beginning, </w:t>
            </w:r>
            <w:r w:rsidR="0093315A">
              <w:rPr>
                <w:rFonts w:ascii="Arial" w:eastAsia="Calibri" w:hAnsi="Arial" w:cs="Arial"/>
                <w:color w:val="000000" w:themeColor="text1"/>
              </w:rPr>
              <w:t>mid-</w:t>
            </w:r>
            <w:proofErr w:type="gramStart"/>
            <w:r w:rsidR="0093315A">
              <w:rPr>
                <w:rFonts w:ascii="Arial" w:eastAsia="Calibri" w:hAnsi="Arial" w:cs="Arial"/>
                <w:color w:val="000000" w:themeColor="text1"/>
              </w:rPr>
              <w:t>point</w:t>
            </w:r>
            <w:proofErr w:type="gramEnd"/>
            <w:r>
              <w:rPr>
                <w:rFonts w:ascii="Arial" w:eastAsia="Calibri" w:hAnsi="Arial" w:cs="Arial"/>
                <w:color w:val="000000" w:themeColor="text1"/>
              </w:rPr>
              <w:t xml:space="preserve"> and end of an academic year to develop their skills in this area.</w:t>
            </w:r>
          </w:p>
          <w:p w14:paraId="44503CE6" w14:textId="77777777" w:rsidR="003C7830" w:rsidRDefault="003C7830" w:rsidP="00A759EC">
            <w:pPr>
              <w:tabs>
                <w:tab w:val="left" w:pos="720"/>
                <w:tab w:val="left" w:pos="9248"/>
              </w:tabs>
              <w:rPr>
                <w:rFonts w:ascii="Arial" w:eastAsia="Calibri" w:hAnsi="Arial" w:cs="Arial"/>
                <w:color w:val="000000" w:themeColor="text1"/>
              </w:rPr>
            </w:pPr>
          </w:p>
          <w:p w14:paraId="238F4986" w14:textId="26F6EA44" w:rsidR="003C7830" w:rsidRDefault="003C7830"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A sample of student portfolios was reviewed. Students also described a culture of openness in that staff can always be approached for additional feedback and support to further their clinical practice. Feedback is an integral part of the central recording system and forms part of the sign-up to final assessments.</w:t>
            </w:r>
            <w:r w:rsidR="007B1468">
              <w:rPr>
                <w:rFonts w:ascii="Arial" w:eastAsia="Calibri" w:hAnsi="Arial" w:cs="Arial"/>
                <w:color w:val="000000" w:themeColor="text1"/>
              </w:rPr>
              <w:t xml:space="preserve"> A personal tutor system is also in use and tutors are encouraged to formulate action plans for their tutees based on the feedback seen on </w:t>
            </w:r>
            <w:proofErr w:type="spellStart"/>
            <w:r w:rsidR="007B1468">
              <w:rPr>
                <w:rFonts w:ascii="Arial" w:eastAsia="Calibri" w:hAnsi="Arial" w:cs="Arial"/>
                <w:color w:val="000000" w:themeColor="text1"/>
              </w:rPr>
              <w:t>LiftUpp</w:t>
            </w:r>
            <w:proofErr w:type="spellEnd"/>
            <w:r w:rsidR="007B1468">
              <w:rPr>
                <w:rFonts w:ascii="Arial" w:eastAsia="Calibri" w:hAnsi="Arial" w:cs="Arial"/>
                <w:color w:val="000000" w:themeColor="text1"/>
              </w:rPr>
              <w:t>.</w:t>
            </w:r>
          </w:p>
          <w:p w14:paraId="55994DCE" w14:textId="77777777" w:rsidR="007B1468" w:rsidRDefault="007B1468" w:rsidP="00A759EC">
            <w:pPr>
              <w:tabs>
                <w:tab w:val="left" w:pos="720"/>
                <w:tab w:val="left" w:pos="9248"/>
              </w:tabs>
              <w:rPr>
                <w:rFonts w:ascii="Arial" w:eastAsia="Calibri" w:hAnsi="Arial" w:cs="Arial"/>
                <w:color w:val="000000" w:themeColor="text1"/>
              </w:rPr>
            </w:pPr>
          </w:p>
          <w:p w14:paraId="5154E011" w14:textId="30152525" w:rsidR="007B1468" w:rsidRDefault="007B1468"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Overall, the panel found the support offered to students to be excellent and that feedback is a well-covered element of the programme. The Requirement is met.</w:t>
            </w:r>
          </w:p>
          <w:p w14:paraId="6CE9AA57" w14:textId="77777777" w:rsidR="004C2BE9" w:rsidRDefault="004C2BE9" w:rsidP="00A759EC">
            <w:pPr>
              <w:tabs>
                <w:tab w:val="left" w:pos="720"/>
                <w:tab w:val="left" w:pos="9248"/>
              </w:tabs>
              <w:rPr>
                <w:rFonts w:ascii="Arial" w:eastAsia="Calibri" w:hAnsi="Arial" w:cs="Arial"/>
                <w:color w:val="000000" w:themeColor="text1"/>
              </w:rPr>
            </w:pPr>
          </w:p>
          <w:p w14:paraId="6EB8C927" w14:textId="77777777" w:rsidR="00F14717" w:rsidRPr="0084743E" w:rsidRDefault="00F14717" w:rsidP="00A759EC">
            <w:pPr>
              <w:tabs>
                <w:tab w:val="left" w:pos="720"/>
                <w:tab w:val="left" w:pos="9248"/>
              </w:tabs>
              <w:rPr>
                <w:rFonts w:ascii="Arial" w:eastAsia="Calibri" w:hAnsi="Arial" w:cs="Arial"/>
                <w:color w:val="000000" w:themeColor="text1"/>
              </w:rPr>
            </w:pPr>
          </w:p>
          <w:p w14:paraId="63D6A4C4" w14:textId="342E7E89" w:rsidR="00E2148E" w:rsidRPr="0084743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 xml:space="preserve">Requirement 19: Examiners/assessors must have appropriate skills, </w:t>
            </w:r>
            <w:proofErr w:type="gramStart"/>
            <w:r w:rsidRPr="0084743E">
              <w:rPr>
                <w:rFonts w:ascii="Arial" w:eastAsia="Calibri" w:hAnsi="Arial" w:cs="Arial"/>
                <w:b/>
                <w:color w:val="000000" w:themeColor="text1"/>
              </w:rPr>
              <w:t>experience</w:t>
            </w:r>
            <w:proofErr w:type="gramEnd"/>
            <w:r w:rsidRPr="0084743E">
              <w:rPr>
                <w:rFonts w:ascii="Arial" w:eastAsia="Calibri" w:hAnsi="Arial" w:cs="Arial"/>
                <w:b/>
                <w:color w:val="000000" w:themeColor="text1"/>
              </w:rPr>
              <w:t xml:space="preserve"> and training to undertake the task of assessment, including appropriate general or specialist registration with a UK regulatory body. Examiners/ assessors should have received training in equality and diversity relevant for their role. </w:t>
            </w:r>
            <w:r w:rsidRPr="0084743E">
              <w:rPr>
                <w:rFonts w:ascii="Arial" w:eastAsia="Calibri" w:hAnsi="Arial" w:cs="Arial"/>
                <w:b/>
                <w:i/>
                <w:color w:val="000000" w:themeColor="text1"/>
              </w:rPr>
              <w:t>(</w:t>
            </w:r>
            <w:r w:rsidRPr="000A4557">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3C7BEF6F" w14:textId="77777777" w:rsidR="00E2148E" w:rsidRDefault="00E2148E" w:rsidP="00A759EC">
            <w:pPr>
              <w:tabs>
                <w:tab w:val="left" w:pos="720"/>
                <w:tab w:val="left" w:pos="9248"/>
              </w:tabs>
              <w:rPr>
                <w:rFonts w:ascii="Arial" w:eastAsia="Calibri" w:hAnsi="Arial" w:cs="Arial"/>
                <w:b/>
                <w:i/>
                <w:color w:val="000000" w:themeColor="text1"/>
              </w:rPr>
            </w:pPr>
          </w:p>
          <w:p w14:paraId="6730784D" w14:textId="0D20B446" w:rsidR="0093315A" w:rsidRDefault="00BD40DB"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Part of the induction for new staff is an introduction to assessments. </w:t>
            </w:r>
            <w:r w:rsidR="00E0220F">
              <w:rPr>
                <w:rFonts w:ascii="Arial" w:eastAsia="Calibri" w:hAnsi="Arial" w:cs="Arial"/>
                <w:bCs/>
                <w:iCs/>
                <w:color w:val="000000" w:themeColor="text1"/>
              </w:rPr>
              <w:t xml:space="preserve">Staff calibration also occurs each year, for which evidence was reviewed by the panel. These are supported </w:t>
            </w:r>
            <w:proofErr w:type="gramStart"/>
            <w:r w:rsidR="00E0220F">
              <w:rPr>
                <w:rFonts w:ascii="Arial" w:eastAsia="Calibri" w:hAnsi="Arial" w:cs="Arial"/>
                <w:bCs/>
                <w:iCs/>
                <w:color w:val="000000" w:themeColor="text1"/>
              </w:rPr>
              <w:t>through the use of</w:t>
            </w:r>
            <w:proofErr w:type="gramEnd"/>
            <w:r w:rsidR="00E0220F">
              <w:rPr>
                <w:rFonts w:ascii="Arial" w:eastAsia="Calibri" w:hAnsi="Arial" w:cs="Arial"/>
                <w:bCs/>
                <w:iCs/>
                <w:color w:val="000000" w:themeColor="text1"/>
              </w:rPr>
              <w:t xml:space="preserve"> marking schemes and criteria. Equality, </w:t>
            </w:r>
            <w:proofErr w:type="gramStart"/>
            <w:r w:rsidR="00E0220F">
              <w:rPr>
                <w:rFonts w:ascii="Arial" w:eastAsia="Calibri" w:hAnsi="Arial" w:cs="Arial"/>
                <w:bCs/>
                <w:iCs/>
                <w:color w:val="000000" w:themeColor="text1"/>
              </w:rPr>
              <w:t>diversity</w:t>
            </w:r>
            <w:proofErr w:type="gramEnd"/>
            <w:r w:rsidR="00E0220F">
              <w:rPr>
                <w:rFonts w:ascii="Arial" w:eastAsia="Calibri" w:hAnsi="Arial" w:cs="Arial"/>
                <w:bCs/>
                <w:iCs/>
                <w:color w:val="000000" w:themeColor="text1"/>
              </w:rPr>
              <w:t xml:space="preserve"> and inclusion training is required by the University and a master spreadsheet is kept </w:t>
            </w:r>
            <w:r w:rsidR="0041287D">
              <w:rPr>
                <w:rFonts w:ascii="Arial" w:eastAsia="Calibri" w:hAnsi="Arial" w:cs="Arial"/>
                <w:bCs/>
                <w:iCs/>
                <w:color w:val="000000" w:themeColor="text1"/>
              </w:rPr>
              <w:t>logging</w:t>
            </w:r>
            <w:r w:rsidR="00E0220F">
              <w:rPr>
                <w:rFonts w:ascii="Arial" w:eastAsia="Calibri" w:hAnsi="Arial" w:cs="Arial"/>
                <w:bCs/>
                <w:iCs/>
                <w:color w:val="000000" w:themeColor="text1"/>
              </w:rPr>
              <w:t xml:space="preserve"> completion of this and other pieces of training. Each member of staff has a line manager who will check the spreadsheet and highlight what needs to be completed. Further personal development is available to all academic staff </w:t>
            </w:r>
            <w:r w:rsidR="0041287D">
              <w:rPr>
                <w:rFonts w:ascii="Arial" w:eastAsia="Calibri" w:hAnsi="Arial" w:cs="Arial"/>
                <w:bCs/>
                <w:iCs/>
                <w:color w:val="000000" w:themeColor="text1"/>
              </w:rPr>
              <w:t>in the form of the Academic Professional Apprenticeship or the Academic Professional Excellence programme, both of which are support</w:t>
            </w:r>
            <w:r w:rsidR="00615173">
              <w:rPr>
                <w:rFonts w:ascii="Arial" w:eastAsia="Calibri" w:hAnsi="Arial" w:cs="Arial"/>
                <w:bCs/>
                <w:iCs/>
                <w:color w:val="000000" w:themeColor="text1"/>
              </w:rPr>
              <w:t>ed</w:t>
            </w:r>
            <w:r w:rsidR="0041287D">
              <w:rPr>
                <w:rFonts w:ascii="Arial" w:eastAsia="Calibri" w:hAnsi="Arial" w:cs="Arial"/>
                <w:bCs/>
                <w:iCs/>
                <w:color w:val="000000" w:themeColor="text1"/>
              </w:rPr>
              <w:t xml:space="preserve"> by the School.</w:t>
            </w:r>
          </w:p>
          <w:p w14:paraId="18D97724" w14:textId="77777777" w:rsidR="00E0220F" w:rsidRDefault="00E0220F" w:rsidP="00A759EC">
            <w:pPr>
              <w:tabs>
                <w:tab w:val="left" w:pos="720"/>
                <w:tab w:val="left" w:pos="9248"/>
              </w:tabs>
              <w:rPr>
                <w:rFonts w:ascii="Arial" w:eastAsia="Calibri" w:hAnsi="Arial" w:cs="Arial"/>
                <w:bCs/>
                <w:iCs/>
                <w:color w:val="000000" w:themeColor="text1"/>
              </w:rPr>
            </w:pPr>
          </w:p>
          <w:p w14:paraId="7D0E7004" w14:textId="2FD028C5" w:rsidR="00E0220F" w:rsidRDefault="00E0220F"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Students are only assessed within the School clinics as the outreach placements are only five days in total and mainly provide shadowing opportunities. This means that the School have greater ability to calibrate and ensure consistency across the assessment of students because all assessors are ‘in-house’. </w:t>
            </w:r>
          </w:p>
          <w:p w14:paraId="51A3E8B2" w14:textId="77777777" w:rsidR="00E0220F" w:rsidRDefault="00E0220F" w:rsidP="00A759EC">
            <w:pPr>
              <w:tabs>
                <w:tab w:val="left" w:pos="720"/>
                <w:tab w:val="left" w:pos="9248"/>
              </w:tabs>
              <w:rPr>
                <w:rFonts w:ascii="Arial" w:eastAsia="Calibri" w:hAnsi="Arial" w:cs="Arial"/>
                <w:bCs/>
                <w:iCs/>
                <w:color w:val="000000" w:themeColor="text1"/>
              </w:rPr>
            </w:pPr>
          </w:p>
          <w:p w14:paraId="687F9F4D" w14:textId="37C951E2" w:rsidR="0093315A" w:rsidRDefault="0041287D" w:rsidP="00A759EC">
            <w:pPr>
              <w:tabs>
                <w:tab w:val="left" w:pos="720"/>
                <w:tab w:val="left" w:pos="9248"/>
              </w:tabs>
              <w:rPr>
                <w:rFonts w:ascii="Arial" w:eastAsia="Calibri" w:hAnsi="Arial" w:cs="Arial"/>
                <w:b/>
                <w:i/>
                <w:color w:val="000000" w:themeColor="text1"/>
              </w:rPr>
            </w:pPr>
            <w:r>
              <w:rPr>
                <w:rFonts w:ascii="Arial" w:eastAsia="Calibri" w:hAnsi="Arial" w:cs="Arial"/>
                <w:bCs/>
                <w:iCs/>
                <w:color w:val="000000" w:themeColor="text1"/>
              </w:rPr>
              <w:t>The panel found the induction to be thorough and were content that all assessors hold the requisite professional registration. The Requirement is found to be met.</w:t>
            </w:r>
          </w:p>
          <w:p w14:paraId="6D11A534" w14:textId="562CBA69" w:rsidR="00C03F38" w:rsidRDefault="00C03F38" w:rsidP="0041287D">
            <w:pPr>
              <w:tabs>
                <w:tab w:val="left" w:pos="720"/>
                <w:tab w:val="left" w:pos="9248"/>
              </w:tabs>
              <w:rPr>
                <w:rFonts w:ascii="Arial" w:eastAsia="Calibri" w:hAnsi="Arial" w:cs="Arial"/>
                <w:bCs/>
                <w:iCs/>
                <w:color w:val="000000" w:themeColor="text1"/>
              </w:rPr>
            </w:pPr>
          </w:p>
          <w:p w14:paraId="75987DA2" w14:textId="77777777" w:rsidR="0041287D" w:rsidRPr="0041287D" w:rsidRDefault="0041287D" w:rsidP="0041287D">
            <w:pPr>
              <w:tabs>
                <w:tab w:val="left" w:pos="720"/>
                <w:tab w:val="left" w:pos="9248"/>
              </w:tabs>
              <w:rPr>
                <w:rFonts w:ascii="Arial" w:eastAsia="Calibri" w:hAnsi="Arial" w:cs="Arial"/>
                <w:bCs/>
                <w:iCs/>
                <w:color w:val="000000" w:themeColor="text1"/>
              </w:rPr>
            </w:pPr>
          </w:p>
          <w:p w14:paraId="799D554E" w14:textId="301E9108" w:rsidR="00E2148E" w:rsidRPr="0084743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lastRenderedPageBreak/>
              <w:t>Requirement 20: Providers must ask external examiners to report on the extent to which assessment processes are rigorous, set at the correct standard, ensure equity of treatment for students and have been fairly conducted. The responsibilities of the external examiners must be clearly documented. (</w:t>
            </w:r>
            <w:r w:rsidRPr="005C2B76">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23DE8554" w14:textId="77777777" w:rsidR="00E2148E" w:rsidRDefault="00E2148E" w:rsidP="00A759EC">
            <w:pPr>
              <w:tabs>
                <w:tab w:val="left" w:pos="720"/>
                <w:tab w:val="left" w:pos="9248"/>
              </w:tabs>
              <w:rPr>
                <w:rFonts w:ascii="Arial" w:eastAsia="Calibri" w:hAnsi="Arial" w:cs="Arial"/>
                <w:b/>
                <w:i/>
                <w:color w:val="000000" w:themeColor="text1"/>
              </w:rPr>
            </w:pPr>
          </w:p>
          <w:p w14:paraId="5D20524A" w14:textId="66CA905A" w:rsidR="005C2B76" w:rsidRDefault="1790C587" w:rsidP="7480ADA0">
            <w:pPr>
              <w:tabs>
                <w:tab w:val="left" w:pos="720"/>
                <w:tab w:val="left" w:pos="9248"/>
              </w:tabs>
              <w:rPr>
                <w:rFonts w:ascii="Arial" w:eastAsia="Calibri" w:hAnsi="Arial" w:cs="Arial"/>
                <w:color w:val="000000" w:themeColor="text1"/>
              </w:rPr>
            </w:pPr>
            <w:r w:rsidRPr="7480ADA0">
              <w:rPr>
                <w:rFonts w:ascii="Arial" w:eastAsia="Calibri" w:hAnsi="Arial" w:cs="Arial"/>
                <w:color w:val="000000" w:themeColor="text1"/>
              </w:rPr>
              <w:t>The external examiner reports reviewed were clear. Opportunities for these to be formally incorporated into the quality management of the programme was well demonstrated. The panel were able to speak with one of the external examiners who was clear on the rationale for their post and was comfortable to raise any concerns as necessary with the programme team. No concerns have been raised to date. The role of the external examiner is set centrally by the University and is set down in a job description.</w:t>
            </w:r>
          </w:p>
          <w:p w14:paraId="21A98994" w14:textId="77777777" w:rsidR="006F2108" w:rsidRDefault="006F2108" w:rsidP="7480ADA0">
            <w:pPr>
              <w:tabs>
                <w:tab w:val="left" w:pos="720"/>
                <w:tab w:val="left" w:pos="9248"/>
              </w:tabs>
              <w:rPr>
                <w:rFonts w:ascii="Arial" w:eastAsia="Calibri" w:hAnsi="Arial" w:cs="Arial"/>
                <w:color w:val="000000" w:themeColor="text1"/>
              </w:rPr>
            </w:pPr>
          </w:p>
          <w:p w14:paraId="3917639D" w14:textId="60DDDA2A" w:rsidR="006F2108" w:rsidRPr="009B7116" w:rsidRDefault="006F2108" w:rsidP="7480ADA0">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panel met with one of the external examiners utilised who reported a positive relationship with the School. They </w:t>
            </w:r>
            <w:proofErr w:type="gramStart"/>
            <w:r>
              <w:rPr>
                <w:rFonts w:ascii="Arial" w:eastAsia="Calibri" w:hAnsi="Arial" w:cs="Arial"/>
                <w:color w:val="000000" w:themeColor="text1"/>
              </w:rPr>
              <w:t>have the opportunity to</w:t>
            </w:r>
            <w:proofErr w:type="gramEnd"/>
            <w:r>
              <w:rPr>
                <w:rFonts w:ascii="Arial" w:eastAsia="Calibri" w:hAnsi="Arial" w:cs="Arial"/>
                <w:color w:val="000000" w:themeColor="text1"/>
              </w:rPr>
              <w:t xml:space="preserve"> </w:t>
            </w:r>
            <w:r w:rsidR="00120298">
              <w:rPr>
                <w:rFonts w:ascii="Arial" w:eastAsia="Calibri" w:hAnsi="Arial" w:cs="Arial"/>
                <w:color w:val="000000" w:themeColor="text1"/>
              </w:rPr>
              <w:t>highlight areas they feel could be improved but also advised that the assessments have always been of a high standard with no need for critical feedback.</w:t>
            </w:r>
          </w:p>
          <w:p w14:paraId="2C1C3E80" w14:textId="77777777" w:rsidR="009B7116" w:rsidRDefault="009B7116" w:rsidP="00A759EC">
            <w:pPr>
              <w:tabs>
                <w:tab w:val="left" w:pos="720"/>
                <w:tab w:val="left" w:pos="9248"/>
              </w:tabs>
              <w:rPr>
                <w:rFonts w:ascii="Arial" w:eastAsia="Calibri" w:hAnsi="Arial" w:cs="Arial"/>
                <w:bCs/>
                <w:iCs/>
                <w:color w:val="000000" w:themeColor="text1"/>
              </w:rPr>
            </w:pPr>
          </w:p>
          <w:p w14:paraId="78963789" w14:textId="0BEE0716" w:rsidR="005C2B76" w:rsidRPr="005C2B76" w:rsidRDefault="005C2B76"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The Requirement was found to be met.</w:t>
            </w:r>
          </w:p>
          <w:p w14:paraId="54FE9AD0" w14:textId="77777777" w:rsidR="00C03F38" w:rsidRDefault="00C03F38" w:rsidP="00A759EC">
            <w:pPr>
              <w:tabs>
                <w:tab w:val="left" w:pos="720"/>
                <w:tab w:val="left" w:pos="9248"/>
              </w:tabs>
              <w:rPr>
                <w:rFonts w:ascii="Arial" w:eastAsia="Calibri" w:hAnsi="Arial" w:cs="Arial"/>
                <w:b/>
                <w:i/>
                <w:color w:val="000000" w:themeColor="text1"/>
              </w:rPr>
            </w:pPr>
          </w:p>
          <w:p w14:paraId="3AFAE49C" w14:textId="77777777" w:rsidR="005C2B76" w:rsidRPr="0084743E" w:rsidRDefault="005C2B76" w:rsidP="00A759EC">
            <w:pPr>
              <w:tabs>
                <w:tab w:val="left" w:pos="720"/>
                <w:tab w:val="left" w:pos="9248"/>
              </w:tabs>
              <w:rPr>
                <w:rFonts w:ascii="Arial" w:eastAsia="Calibri" w:hAnsi="Arial" w:cs="Arial"/>
                <w:b/>
                <w:i/>
                <w:color w:val="000000" w:themeColor="text1"/>
              </w:rPr>
            </w:pPr>
          </w:p>
          <w:p w14:paraId="2AADA1E3" w14:textId="53836097" w:rsidR="00E2148E" w:rsidRPr="0084743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Requirement 21: Assessment must be fair and undertaken against clear criteria. The standard expected of students in each area to be assessed must be clear and students and staff involved in assessment must be aware of this standard. An appropriate standard setting process must be employed for summative assessments. (</w:t>
            </w:r>
            <w:r w:rsidRPr="00D72392">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6228480C" w14:textId="77777777" w:rsidR="00E2148E" w:rsidRDefault="00E2148E" w:rsidP="00A759EC">
            <w:pPr>
              <w:tabs>
                <w:tab w:val="left" w:pos="720"/>
                <w:tab w:val="left" w:pos="9248"/>
              </w:tabs>
              <w:rPr>
                <w:rFonts w:ascii="Arial" w:eastAsia="Calibri" w:hAnsi="Arial" w:cs="Arial"/>
                <w:color w:val="000000" w:themeColor="text1"/>
              </w:rPr>
            </w:pPr>
          </w:p>
          <w:p w14:paraId="47156491" w14:textId="5817C14D" w:rsidR="00D72392" w:rsidRDefault="00D72392"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programme utilises </w:t>
            </w:r>
            <w:proofErr w:type="spellStart"/>
            <w:r>
              <w:rPr>
                <w:rFonts w:ascii="Arial" w:eastAsia="Calibri" w:hAnsi="Arial" w:cs="Arial"/>
                <w:color w:val="000000" w:themeColor="text1"/>
              </w:rPr>
              <w:t>Angoff</w:t>
            </w:r>
            <w:proofErr w:type="spellEnd"/>
            <w:r>
              <w:rPr>
                <w:rFonts w:ascii="Arial" w:eastAsia="Calibri" w:hAnsi="Arial" w:cs="Arial"/>
                <w:color w:val="000000" w:themeColor="text1"/>
              </w:rPr>
              <w:t xml:space="preserve"> and standard deviation when setting assessments and clinical benchmarks respectively. Special dispensation has been granted by the University to allow </w:t>
            </w:r>
            <w:proofErr w:type="spellStart"/>
            <w:r>
              <w:rPr>
                <w:rFonts w:ascii="Arial" w:eastAsia="Calibri" w:hAnsi="Arial" w:cs="Arial"/>
                <w:color w:val="000000" w:themeColor="text1"/>
              </w:rPr>
              <w:t>Angoff</w:t>
            </w:r>
            <w:proofErr w:type="spellEnd"/>
            <w:r>
              <w:rPr>
                <w:rFonts w:ascii="Arial" w:eastAsia="Calibri" w:hAnsi="Arial" w:cs="Arial"/>
                <w:color w:val="000000" w:themeColor="text1"/>
              </w:rPr>
              <w:t xml:space="preserve"> to be used. The assessments are taken through a robust procedure to assure their effectiveness and the School continues to build its’ data set to allow for more statistical analysis.</w:t>
            </w:r>
          </w:p>
          <w:p w14:paraId="48F6AE08" w14:textId="77777777" w:rsidR="00D72392" w:rsidRDefault="00D72392" w:rsidP="00A759EC">
            <w:pPr>
              <w:tabs>
                <w:tab w:val="left" w:pos="720"/>
                <w:tab w:val="left" w:pos="9248"/>
              </w:tabs>
              <w:rPr>
                <w:rFonts w:ascii="Arial" w:eastAsia="Calibri" w:hAnsi="Arial" w:cs="Arial"/>
                <w:color w:val="000000" w:themeColor="text1"/>
              </w:rPr>
            </w:pPr>
          </w:p>
          <w:p w14:paraId="3DEB99AC" w14:textId="41A9ADCB" w:rsidR="00D72392" w:rsidRDefault="00D72392"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Evidence was seen of staff calibration and the panel were pleased to learn that recordings of student assessments are used for such activity and staff training generally. The students with which the panel spoke did not raise any issues or concerns with the assessment, and comprehensive module guides are in place. An issue involving some confusion about an exam manuscript was mentioned by students which the panel highlighted to the School for their consideration. Despite this, the panel were content that the Requirement is met.</w:t>
            </w:r>
          </w:p>
          <w:p w14:paraId="236E8538" w14:textId="4D1D77BD" w:rsidR="00C03F38" w:rsidRPr="00D72392" w:rsidRDefault="00C03F38" w:rsidP="00D72392">
            <w:pPr>
              <w:tabs>
                <w:tab w:val="left" w:pos="720"/>
                <w:tab w:val="left" w:pos="9248"/>
              </w:tabs>
              <w:rPr>
                <w:rFonts w:ascii="Arial" w:eastAsia="Calibri" w:hAnsi="Arial" w:cs="Arial"/>
                <w:color w:val="000000" w:themeColor="text1"/>
              </w:rPr>
            </w:pPr>
          </w:p>
        </w:tc>
      </w:tr>
    </w:tbl>
    <w:p w14:paraId="51A7B01E" w14:textId="6B1CC1A7" w:rsidR="00CB6EEE" w:rsidRPr="0084743E" w:rsidRDefault="00CB6EEE" w:rsidP="004213EA">
      <w:pPr>
        <w:rPr>
          <w:rFonts w:ascii="Arial" w:hAnsi="Arial" w:cs="Arial"/>
          <w:b/>
          <w:color w:val="1F3864" w:themeColor="accent1" w:themeShade="80"/>
          <w:sz w:val="28"/>
        </w:rPr>
        <w:sectPr w:rsidR="00CB6EEE" w:rsidRPr="0084743E" w:rsidSect="00D57A79">
          <w:footerReference w:type="default" r:id="rId12"/>
          <w:pgSz w:w="11906" w:h="16838"/>
          <w:pgMar w:top="1440" w:right="1440" w:bottom="1440" w:left="1440" w:header="709" w:footer="709" w:gutter="0"/>
          <w:cols w:space="708"/>
          <w:docGrid w:linePitch="360"/>
        </w:sectPr>
      </w:pPr>
      <w:r w:rsidRPr="0084743E">
        <w:rPr>
          <w:rFonts w:ascii="Arial" w:hAnsi="Arial" w:cs="Arial"/>
          <w:b/>
          <w:color w:val="1F3864" w:themeColor="accent1" w:themeShade="80"/>
          <w:sz w:val="28"/>
        </w:rPr>
        <w:lastRenderedPageBreak/>
        <w:br w:type="page"/>
      </w:r>
    </w:p>
    <w:p w14:paraId="58A9E1E2" w14:textId="28EAC581" w:rsidR="00DD37F6" w:rsidRPr="0084743E" w:rsidRDefault="004213EA" w:rsidP="004213EA">
      <w:pPr>
        <w:rPr>
          <w:rFonts w:ascii="Arial" w:hAnsi="Arial" w:cs="Arial"/>
          <w:b/>
          <w:color w:val="1F3864" w:themeColor="accent1" w:themeShade="80"/>
          <w:sz w:val="28"/>
        </w:rPr>
      </w:pPr>
      <w:r w:rsidRPr="0084743E">
        <w:rPr>
          <w:rFonts w:ascii="Arial" w:hAnsi="Arial" w:cs="Arial"/>
          <w:b/>
          <w:color w:val="1F3864" w:themeColor="accent1" w:themeShade="80"/>
          <w:sz w:val="28"/>
        </w:rPr>
        <w:lastRenderedPageBreak/>
        <w:t>Summary of Acti</w:t>
      </w:r>
      <w:r w:rsidR="00FA6320" w:rsidRPr="0084743E">
        <w:rPr>
          <w:rFonts w:ascii="Arial" w:hAnsi="Arial" w:cs="Arial"/>
          <w:b/>
          <w:color w:val="1F3864" w:themeColor="accent1" w:themeShade="80"/>
          <w:sz w:val="28"/>
        </w:rPr>
        <w:t>o</w:t>
      </w:r>
      <w:r w:rsidR="00BE085C" w:rsidRPr="0084743E">
        <w:rPr>
          <w:rFonts w:ascii="Arial" w:hAnsi="Arial" w:cs="Arial"/>
          <w:b/>
          <w:color w:val="1F3864" w:themeColor="accent1" w:themeShade="80"/>
          <w:sz w:val="28"/>
        </w:rPr>
        <w:t>n</w:t>
      </w:r>
    </w:p>
    <w:tbl>
      <w:tblPr>
        <w:tblStyle w:val="TableGrid"/>
        <w:tblW w:w="0" w:type="auto"/>
        <w:tblLook w:val="04A0" w:firstRow="1" w:lastRow="0" w:firstColumn="1" w:lastColumn="0" w:noHBand="0" w:noVBand="1"/>
      </w:tblPr>
      <w:tblGrid>
        <w:gridCol w:w="1561"/>
        <w:gridCol w:w="4534"/>
        <w:gridCol w:w="5667"/>
        <w:gridCol w:w="2186"/>
      </w:tblGrid>
      <w:tr w:rsidR="00DD37F6" w:rsidRPr="0084743E" w14:paraId="53E9ECA7" w14:textId="77777777" w:rsidTr="00120298">
        <w:tc>
          <w:tcPr>
            <w:tcW w:w="1561" w:type="dxa"/>
            <w:shd w:val="clear" w:color="auto" w:fill="2F5496" w:themeFill="accent1" w:themeFillShade="BF"/>
          </w:tcPr>
          <w:p w14:paraId="56DC5830" w14:textId="7B3C22E8"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Req</w:t>
            </w:r>
            <w:r w:rsidR="00CB6EEE" w:rsidRPr="0084743E">
              <w:rPr>
                <w:rFonts w:ascii="Arial" w:hAnsi="Arial" w:cs="Arial"/>
                <w:b/>
                <w:color w:val="FFFFFF" w:themeColor="background1"/>
              </w:rPr>
              <w:t>uirement</w:t>
            </w:r>
            <w:r w:rsidR="00EA2031" w:rsidRPr="0084743E">
              <w:rPr>
                <w:rFonts w:ascii="Arial" w:hAnsi="Arial" w:cs="Arial"/>
                <w:b/>
                <w:color w:val="FFFFFF" w:themeColor="background1"/>
              </w:rPr>
              <w:t xml:space="preserve"> </w:t>
            </w:r>
            <w:r w:rsidR="0098457E" w:rsidRPr="0084743E">
              <w:rPr>
                <w:rFonts w:ascii="Arial" w:hAnsi="Arial" w:cs="Arial"/>
                <w:b/>
                <w:color w:val="FFFFFF" w:themeColor="background1"/>
              </w:rPr>
              <w:t>number</w:t>
            </w:r>
          </w:p>
        </w:tc>
        <w:tc>
          <w:tcPr>
            <w:tcW w:w="4534" w:type="dxa"/>
            <w:shd w:val="clear" w:color="auto" w:fill="2F5496" w:themeFill="accent1" w:themeFillShade="BF"/>
          </w:tcPr>
          <w:p w14:paraId="5E301E19" w14:textId="5C386771"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Action</w:t>
            </w:r>
          </w:p>
        </w:tc>
        <w:tc>
          <w:tcPr>
            <w:tcW w:w="5667" w:type="dxa"/>
            <w:shd w:val="clear" w:color="auto" w:fill="2F5496" w:themeFill="accent1" w:themeFillShade="BF"/>
          </w:tcPr>
          <w:p w14:paraId="76FF9E2A" w14:textId="7DABBE35"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 xml:space="preserve">Observations </w:t>
            </w:r>
            <w:r w:rsidR="00EA2031" w:rsidRPr="0084743E">
              <w:rPr>
                <w:rFonts w:ascii="Arial" w:hAnsi="Arial" w:cs="Arial"/>
                <w:b/>
                <w:color w:val="FFFFFF" w:themeColor="background1"/>
              </w:rPr>
              <w:t>&amp; response from Provider</w:t>
            </w:r>
          </w:p>
        </w:tc>
        <w:tc>
          <w:tcPr>
            <w:tcW w:w="2186" w:type="dxa"/>
            <w:shd w:val="clear" w:color="auto" w:fill="2F5496" w:themeFill="accent1" w:themeFillShade="BF"/>
          </w:tcPr>
          <w:p w14:paraId="47639F7A" w14:textId="47800ADA" w:rsidR="00DD37F6" w:rsidRPr="0084743E" w:rsidRDefault="00EA2031" w:rsidP="004213EA">
            <w:pPr>
              <w:rPr>
                <w:rFonts w:ascii="Arial" w:hAnsi="Arial" w:cs="Arial"/>
                <w:b/>
                <w:color w:val="FFFFFF" w:themeColor="background1"/>
              </w:rPr>
            </w:pPr>
            <w:r w:rsidRPr="0084743E">
              <w:rPr>
                <w:rFonts w:ascii="Arial" w:hAnsi="Arial" w:cs="Arial"/>
                <w:b/>
                <w:color w:val="FFFFFF" w:themeColor="background1"/>
              </w:rPr>
              <w:t>Due date</w:t>
            </w:r>
          </w:p>
        </w:tc>
      </w:tr>
      <w:tr w:rsidR="0098457E" w:rsidRPr="0084743E" w14:paraId="3F5E5268" w14:textId="77777777" w:rsidTr="00120298">
        <w:tc>
          <w:tcPr>
            <w:tcW w:w="1561" w:type="dxa"/>
            <w:shd w:val="clear" w:color="auto" w:fill="FFFFFF" w:themeFill="background1"/>
          </w:tcPr>
          <w:p w14:paraId="1E71525B" w14:textId="68884B80" w:rsidR="0098457E" w:rsidRPr="0084743E" w:rsidRDefault="00505F07" w:rsidP="004213EA">
            <w:pPr>
              <w:rPr>
                <w:rFonts w:ascii="Arial" w:hAnsi="Arial" w:cs="Arial"/>
              </w:rPr>
            </w:pPr>
            <w:r>
              <w:rPr>
                <w:rFonts w:ascii="Arial" w:hAnsi="Arial" w:cs="Arial"/>
              </w:rPr>
              <w:t xml:space="preserve">11 &amp; 17 </w:t>
            </w:r>
          </w:p>
        </w:tc>
        <w:tc>
          <w:tcPr>
            <w:tcW w:w="4534" w:type="dxa"/>
            <w:shd w:val="clear" w:color="auto" w:fill="FFFFFF" w:themeFill="background1"/>
          </w:tcPr>
          <w:p w14:paraId="7C7142A0" w14:textId="74989813" w:rsidR="0098457E" w:rsidRPr="0084743E" w:rsidRDefault="00505F07" w:rsidP="004213EA">
            <w:pPr>
              <w:rPr>
                <w:rFonts w:ascii="Arial" w:hAnsi="Arial" w:cs="Arial"/>
              </w:rPr>
            </w:pPr>
            <w:r>
              <w:rPr>
                <w:rFonts w:ascii="Arial" w:hAnsi="Arial" w:cs="Arial"/>
              </w:rPr>
              <w:t>The provider must consider how patient feedback can be gathered in a way that allows for its’ inclusion in quality management of the programme.</w:t>
            </w:r>
          </w:p>
        </w:tc>
        <w:tc>
          <w:tcPr>
            <w:tcW w:w="5667" w:type="dxa"/>
            <w:shd w:val="clear" w:color="auto" w:fill="FFFFFF" w:themeFill="background1"/>
          </w:tcPr>
          <w:p w14:paraId="556D045E" w14:textId="77777777" w:rsidR="0098457E" w:rsidRDefault="00615173" w:rsidP="00615173">
            <w:pPr>
              <w:rPr>
                <w:rFonts w:ascii="Arial" w:hAnsi="Arial" w:cs="Arial"/>
              </w:rPr>
            </w:pPr>
            <w:r>
              <w:rPr>
                <w:rFonts w:ascii="Arial" w:hAnsi="Arial" w:cs="Arial"/>
              </w:rPr>
              <w:t>The Dental Academy recognises the challenges of integrating patient feedback in a meaningful way. We now have a patient representative member on the EDI Committee and will consider i</w:t>
            </w:r>
            <w:r w:rsidR="009B42D9">
              <w:rPr>
                <w:rFonts w:ascii="Arial" w:hAnsi="Arial" w:cs="Arial"/>
              </w:rPr>
              <w:t>nclud</w:t>
            </w:r>
            <w:r>
              <w:rPr>
                <w:rFonts w:ascii="Arial" w:hAnsi="Arial" w:cs="Arial"/>
              </w:rPr>
              <w:t>ing</w:t>
            </w:r>
            <w:r w:rsidR="009B42D9">
              <w:rPr>
                <w:rFonts w:ascii="Arial" w:hAnsi="Arial" w:cs="Arial"/>
              </w:rPr>
              <w:t xml:space="preserve"> </w:t>
            </w:r>
            <w:r>
              <w:rPr>
                <w:rFonts w:ascii="Arial" w:hAnsi="Arial" w:cs="Arial"/>
              </w:rPr>
              <w:t>‘</w:t>
            </w:r>
            <w:r w:rsidR="009B42D9">
              <w:rPr>
                <w:rFonts w:ascii="Arial" w:hAnsi="Arial" w:cs="Arial"/>
              </w:rPr>
              <w:t>patient voice</w:t>
            </w:r>
            <w:r>
              <w:rPr>
                <w:rFonts w:ascii="Arial" w:hAnsi="Arial" w:cs="Arial"/>
              </w:rPr>
              <w:t>’</w:t>
            </w:r>
            <w:r w:rsidR="009B42D9">
              <w:rPr>
                <w:rFonts w:ascii="Arial" w:hAnsi="Arial" w:cs="Arial"/>
              </w:rPr>
              <w:t xml:space="preserve"> as a standing agenda item </w:t>
            </w:r>
            <w:r>
              <w:rPr>
                <w:rFonts w:ascii="Arial" w:hAnsi="Arial" w:cs="Arial"/>
              </w:rPr>
              <w:t>at</w:t>
            </w:r>
            <w:r w:rsidR="009B42D9">
              <w:rPr>
                <w:rFonts w:ascii="Arial" w:hAnsi="Arial" w:cs="Arial"/>
              </w:rPr>
              <w:t xml:space="preserve"> </w:t>
            </w:r>
            <w:r>
              <w:rPr>
                <w:rFonts w:ascii="Arial" w:hAnsi="Arial" w:cs="Arial"/>
              </w:rPr>
              <w:t xml:space="preserve">the </w:t>
            </w:r>
            <w:r w:rsidR="009B42D9">
              <w:rPr>
                <w:rFonts w:ascii="Arial" w:hAnsi="Arial" w:cs="Arial"/>
              </w:rPr>
              <w:t>Clinical Committee meeting</w:t>
            </w:r>
            <w:r>
              <w:rPr>
                <w:rFonts w:ascii="Arial" w:hAnsi="Arial" w:cs="Arial"/>
              </w:rPr>
              <w:t xml:space="preserve">s. </w:t>
            </w:r>
          </w:p>
          <w:p w14:paraId="2015DE9A" w14:textId="43A11667" w:rsidR="00615173" w:rsidRPr="0084743E" w:rsidRDefault="00615173" w:rsidP="00615173">
            <w:pPr>
              <w:rPr>
                <w:rFonts w:ascii="Arial" w:hAnsi="Arial" w:cs="Arial"/>
              </w:rPr>
            </w:pPr>
            <w:r>
              <w:rPr>
                <w:rFonts w:ascii="Arial" w:hAnsi="Arial" w:cs="Arial"/>
              </w:rPr>
              <w:t>The Dental Academy will host further ‘Community Conversation’ events to engage patients as key stakeholders in the quality management and development of the Dental Academy.</w:t>
            </w:r>
          </w:p>
        </w:tc>
        <w:tc>
          <w:tcPr>
            <w:tcW w:w="2186" w:type="dxa"/>
            <w:shd w:val="clear" w:color="auto" w:fill="FFFFFF" w:themeFill="background1"/>
          </w:tcPr>
          <w:p w14:paraId="020971C5" w14:textId="46D924A8" w:rsidR="0098457E" w:rsidRPr="0084743E" w:rsidRDefault="00505F07" w:rsidP="004213EA">
            <w:pPr>
              <w:rPr>
                <w:rFonts w:ascii="Arial" w:hAnsi="Arial" w:cs="Arial"/>
              </w:rPr>
            </w:pPr>
            <w:r>
              <w:rPr>
                <w:rFonts w:ascii="Arial" w:hAnsi="Arial" w:cs="Arial"/>
              </w:rPr>
              <w:t>Monitoring 2025</w:t>
            </w:r>
          </w:p>
        </w:tc>
      </w:tr>
      <w:tr w:rsidR="0098457E" w:rsidRPr="0084743E" w14:paraId="36ED39E2" w14:textId="77777777" w:rsidTr="00120298">
        <w:tc>
          <w:tcPr>
            <w:tcW w:w="1561" w:type="dxa"/>
            <w:shd w:val="clear" w:color="auto" w:fill="FFFFFF" w:themeFill="background1"/>
          </w:tcPr>
          <w:p w14:paraId="47FA2F00" w14:textId="683E96D4" w:rsidR="0098457E" w:rsidRPr="0084743E" w:rsidRDefault="00505F07" w:rsidP="004213EA">
            <w:pPr>
              <w:rPr>
                <w:rFonts w:ascii="Arial" w:hAnsi="Arial" w:cs="Arial"/>
              </w:rPr>
            </w:pPr>
            <w:r>
              <w:rPr>
                <w:rFonts w:ascii="Arial" w:hAnsi="Arial" w:cs="Arial"/>
              </w:rPr>
              <w:t>12</w:t>
            </w:r>
          </w:p>
        </w:tc>
        <w:tc>
          <w:tcPr>
            <w:tcW w:w="4534" w:type="dxa"/>
            <w:shd w:val="clear" w:color="auto" w:fill="FFFFFF" w:themeFill="background1"/>
          </w:tcPr>
          <w:p w14:paraId="63E9EF16" w14:textId="647422F1" w:rsidR="0098457E" w:rsidRPr="0084743E" w:rsidRDefault="00505F07" w:rsidP="004213EA">
            <w:pPr>
              <w:rPr>
                <w:rFonts w:ascii="Arial" w:hAnsi="Arial" w:cs="Arial"/>
              </w:rPr>
            </w:pPr>
            <w:r>
              <w:rPr>
                <w:rFonts w:ascii="Arial" w:hAnsi="Arial" w:cs="Arial"/>
              </w:rPr>
              <w:t xml:space="preserve">The provider must review the inclusion of one-day placement experience when considering a student’s total experience against benchmarks or clinical </w:t>
            </w:r>
            <w:r w:rsidR="0004536A">
              <w:rPr>
                <w:rFonts w:ascii="Arial" w:hAnsi="Arial" w:cs="Arial"/>
              </w:rPr>
              <w:t>targets and</w:t>
            </w:r>
            <w:r>
              <w:rPr>
                <w:rFonts w:ascii="Arial" w:hAnsi="Arial" w:cs="Arial"/>
              </w:rPr>
              <w:t xml:space="preserve"> introduce a process to ensure that such experience is at the same standard as that gained within the Dental Academy.</w:t>
            </w:r>
          </w:p>
        </w:tc>
        <w:tc>
          <w:tcPr>
            <w:tcW w:w="5667" w:type="dxa"/>
            <w:shd w:val="clear" w:color="auto" w:fill="FFFFFF" w:themeFill="background1"/>
          </w:tcPr>
          <w:p w14:paraId="208601E6" w14:textId="1FDB7236" w:rsidR="0098457E" w:rsidRPr="0084743E" w:rsidRDefault="00615173" w:rsidP="004213EA">
            <w:pPr>
              <w:rPr>
                <w:rFonts w:ascii="Arial" w:hAnsi="Arial" w:cs="Arial"/>
              </w:rPr>
            </w:pPr>
            <w:r>
              <w:rPr>
                <w:rFonts w:ascii="Arial" w:hAnsi="Arial" w:cs="Arial"/>
              </w:rPr>
              <w:t xml:space="preserve"> ‘Mentor Evenings’ take place on an annual basis and allow for opportunities for standardisation and calibration of outreach staff. The focus has</w:t>
            </w:r>
            <w:r w:rsidR="002B794D">
              <w:rPr>
                <w:rFonts w:ascii="Arial" w:hAnsi="Arial" w:cs="Arial"/>
              </w:rPr>
              <w:t xml:space="preserve"> historically</w:t>
            </w:r>
            <w:r>
              <w:rPr>
                <w:rFonts w:ascii="Arial" w:hAnsi="Arial" w:cs="Arial"/>
              </w:rPr>
              <w:t xml:space="preserve"> been developmental for our outreach mentors</w:t>
            </w:r>
            <w:r w:rsidR="002B794D">
              <w:rPr>
                <w:rFonts w:ascii="Arial" w:hAnsi="Arial" w:cs="Arial"/>
              </w:rPr>
              <w:t>,</w:t>
            </w:r>
            <w:r>
              <w:rPr>
                <w:rFonts w:ascii="Arial" w:hAnsi="Arial" w:cs="Arial"/>
              </w:rPr>
              <w:t xml:space="preserve"> but an intentional shift towards assessment of students</w:t>
            </w:r>
            <w:r w:rsidR="002B794D">
              <w:rPr>
                <w:rFonts w:ascii="Arial" w:hAnsi="Arial" w:cs="Arial"/>
              </w:rPr>
              <w:t xml:space="preserve">, expectations of outreach mentors and standardisation and calibration of mentors will feature heavily moving forward. The success of using pre-recorded student experiences as part of the calibration exercises will be further developed so that online resources can be delivered to external outreach supervisors and mentors to underpin and support the </w:t>
            </w:r>
            <w:proofErr w:type="gramStart"/>
            <w:r w:rsidR="002B794D">
              <w:rPr>
                <w:rFonts w:ascii="Arial" w:hAnsi="Arial" w:cs="Arial"/>
              </w:rPr>
              <w:t>face to face</w:t>
            </w:r>
            <w:proofErr w:type="gramEnd"/>
            <w:r w:rsidR="002B794D">
              <w:rPr>
                <w:rFonts w:ascii="Arial" w:hAnsi="Arial" w:cs="Arial"/>
              </w:rPr>
              <w:t xml:space="preserve"> Mentors Evenings. </w:t>
            </w:r>
          </w:p>
        </w:tc>
        <w:tc>
          <w:tcPr>
            <w:tcW w:w="2186" w:type="dxa"/>
            <w:shd w:val="clear" w:color="auto" w:fill="FFFFFF" w:themeFill="background1"/>
          </w:tcPr>
          <w:p w14:paraId="5003A567" w14:textId="6DD0D47C" w:rsidR="0098457E" w:rsidRPr="0084743E" w:rsidRDefault="00505F07" w:rsidP="004213EA">
            <w:pPr>
              <w:rPr>
                <w:rFonts w:ascii="Arial" w:hAnsi="Arial" w:cs="Arial"/>
              </w:rPr>
            </w:pPr>
            <w:r>
              <w:rPr>
                <w:rFonts w:ascii="Arial" w:hAnsi="Arial" w:cs="Arial"/>
              </w:rPr>
              <w:t>Monitoring 2025</w:t>
            </w:r>
          </w:p>
        </w:tc>
      </w:tr>
    </w:tbl>
    <w:p w14:paraId="2E3295AE" w14:textId="77777777" w:rsidR="00DD37F6" w:rsidRPr="0084743E" w:rsidRDefault="00DD37F6" w:rsidP="004213EA">
      <w:pPr>
        <w:rPr>
          <w:rFonts w:ascii="Arial" w:hAnsi="Arial" w:cs="Arial"/>
          <w:b/>
          <w:color w:val="1F3864" w:themeColor="accent1" w:themeShade="80"/>
          <w:sz w:val="28"/>
        </w:rPr>
      </w:pPr>
    </w:p>
    <w:p w14:paraId="5691527E" w14:textId="77777777" w:rsidR="0075694B" w:rsidRPr="0084743E" w:rsidRDefault="0075694B" w:rsidP="0075694B">
      <w:pPr>
        <w:rPr>
          <w:rFonts w:ascii="Arial" w:hAnsi="Arial" w:cs="Arial"/>
          <w:b/>
          <w:color w:val="244061"/>
          <w:sz w:val="28"/>
          <w:szCs w:val="28"/>
        </w:rPr>
      </w:pPr>
      <w:r w:rsidRPr="0084743E">
        <w:rPr>
          <w:rFonts w:ascii="Arial" w:hAnsi="Arial" w:cs="Arial"/>
          <w:b/>
          <w:color w:val="244061"/>
          <w:sz w:val="28"/>
          <w:szCs w:val="28"/>
        </w:rPr>
        <w:t xml:space="preserve">Observations from the provider on content of report </w:t>
      </w:r>
    </w:p>
    <w:tbl>
      <w:tblPr>
        <w:tblStyle w:val="TableGrid"/>
        <w:tblW w:w="0" w:type="auto"/>
        <w:tblInd w:w="-5" w:type="dxa"/>
        <w:tblLook w:val="04A0" w:firstRow="1" w:lastRow="0" w:firstColumn="1" w:lastColumn="0" w:noHBand="0" w:noVBand="1"/>
      </w:tblPr>
      <w:tblGrid>
        <w:gridCol w:w="13953"/>
      </w:tblGrid>
      <w:tr w:rsidR="0075694B" w:rsidRPr="0084743E" w14:paraId="1701DF57" w14:textId="77777777" w:rsidTr="00BA0A18">
        <w:tc>
          <w:tcPr>
            <w:tcW w:w="13953" w:type="dxa"/>
          </w:tcPr>
          <w:p w14:paraId="2CD73A64" w14:textId="77777777" w:rsidR="0075694B" w:rsidRPr="0084743E" w:rsidRDefault="0075694B" w:rsidP="003B65CB">
            <w:pPr>
              <w:rPr>
                <w:rFonts w:ascii="Arial" w:hAnsi="Arial" w:cs="Arial"/>
                <w:b/>
                <w:color w:val="365F91"/>
              </w:rPr>
            </w:pPr>
          </w:p>
          <w:p w14:paraId="74DFA104" w14:textId="73DE14F4" w:rsidR="003B65CB" w:rsidRDefault="002B794D" w:rsidP="003B65CB">
            <w:pPr>
              <w:rPr>
                <w:rFonts w:ascii="Arial" w:hAnsi="Arial" w:cs="Arial"/>
                <w:b/>
                <w:color w:val="365F91"/>
              </w:rPr>
            </w:pPr>
            <w:r>
              <w:rPr>
                <w:rFonts w:ascii="Arial" w:hAnsi="Arial" w:cs="Arial"/>
                <w:b/>
                <w:color w:val="365F91"/>
              </w:rPr>
              <w:t xml:space="preserve">The report has been compiled carefully considering the evidence provided and feedback from students, faculty staff, external </w:t>
            </w:r>
            <w:proofErr w:type="gramStart"/>
            <w:r>
              <w:rPr>
                <w:rFonts w:ascii="Arial" w:hAnsi="Arial" w:cs="Arial"/>
                <w:b/>
                <w:color w:val="365F91"/>
              </w:rPr>
              <w:t>examiners</w:t>
            </w:r>
            <w:proofErr w:type="gramEnd"/>
            <w:r>
              <w:rPr>
                <w:rFonts w:ascii="Arial" w:hAnsi="Arial" w:cs="Arial"/>
                <w:b/>
                <w:color w:val="365F91"/>
              </w:rPr>
              <w:t xml:space="preserve"> and placement providers. </w:t>
            </w:r>
          </w:p>
          <w:p w14:paraId="41B2333B" w14:textId="15F4E69F" w:rsidR="002B794D" w:rsidRPr="0084743E" w:rsidRDefault="002B794D" w:rsidP="003B65CB">
            <w:pPr>
              <w:rPr>
                <w:rFonts w:ascii="Arial" w:hAnsi="Arial" w:cs="Arial"/>
                <w:b/>
                <w:color w:val="365F91"/>
              </w:rPr>
            </w:pPr>
            <w:r>
              <w:rPr>
                <w:rFonts w:ascii="Arial" w:hAnsi="Arial" w:cs="Arial"/>
                <w:b/>
                <w:color w:val="365F91"/>
              </w:rPr>
              <w:lastRenderedPageBreak/>
              <w:t xml:space="preserve">Valid points have been raised and the panel’s understanding of current challenges faced across the UK, such as patient involvement in quality mechanisms is appreciated. The Dental Academy are keen to deliver the best possible patient and student experience and the positive validation for </w:t>
            </w:r>
            <w:proofErr w:type="gramStart"/>
            <w:r>
              <w:rPr>
                <w:rFonts w:ascii="Arial" w:hAnsi="Arial" w:cs="Arial"/>
                <w:b/>
                <w:color w:val="365F91"/>
              </w:rPr>
              <w:t>the majority of</w:t>
            </w:r>
            <w:proofErr w:type="gramEnd"/>
            <w:r>
              <w:rPr>
                <w:rFonts w:ascii="Arial" w:hAnsi="Arial" w:cs="Arial"/>
                <w:b/>
                <w:color w:val="365F91"/>
              </w:rPr>
              <w:t xml:space="preserve"> systems and processes in place at the Dental Academy is highly regarded and valued. </w:t>
            </w:r>
          </w:p>
          <w:p w14:paraId="2BA93FD0" w14:textId="57E7DB94" w:rsidR="003B65CB" w:rsidRPr="0084743E" w:rsidRDefault="003B65CB" w:rsidP="003B65CB">
            <w:pPr>
              <w:rPr>
                <w:rFonts w:ascii="Arial" w:hAnsi="Arial" w:cs="Arial"/>
                <w:b/>
                <w:color w:val="365F91"/>
              </w:rPr>
            </w:pPr>
          </w:p>
        </w:tc>
      </w:tr>
    </w:tbl>
    <w:p w14:paraId="059D96FB" w14:textId="77777777" w:rsidR="00DA6B7C" w:rsidRPr="0084743E" w:rsidRDefault="00DA6B7C" w:rsidP="004213EA">
      <w:pPr>
        <w:rPr>
          <w:rFonts w:ascii="Arial" w:hAnsi="Arial" w:cs="Arial"/>
          <w:b/>
          <w:color w:val="1F3864" w:themeColor="accent1" w:themeShade="80"/>
          <w:sz w:val="28"/>
        </w:rPr>
      </w:pPr>
    </w:p>
    <w:p w14:paraId="2C1B6DB5" w14:textId="77777777" w:rsidR="0075694B" w:rsidRPr="0084743E" w:rsidRDefault="0075694B" w:rsidP="0075694B">
      <w:pPr>
        <w:rPr>
          <w:rFonts w:ascii="Arial" w:hAnsi="Arial" w:cs="Arial"/>
          <w:b/>
          <w:color w:val="244061"/>
          <w:sz w:val="28"/>
          <w:szCs w:val="28"/>
        </w:rPr>
      </w:pPr>
      <w:r w:rsidRPr="0084743E">
        <w:rPr>
          <w:rFonts w:ascii="Arial" w:hAnsi="Arial" w:cs="Arial"/>
          <w:b/>
          <w:color w:val="244061"/>
          <w:sz w:val="28"/>
          <w:szCs w:val="28"/>
        </w:rPr>
        <w:t>Recommendations to the GDC</w:t>
      </w:r>
    </w:p>
    <w:p w14:paraId="176C7E66" w14:textId="3839BABD" w:rsidR="002546AF" w:rsidRPr="0084743E" w:rsidRDefault="002546AF" w:rsidP="000E3F78">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6091"/>
        <w:gridCol w:w="7857"/>
      </w:tblGrid>
      <w:tr w:rsidR="002546AF" w:rsidRPr="0084743E" w14:paraId="4289ED4B" w14:textId="77777777" w:rsidTr="00682FCA">
        <w:tc>
          <w:tcPr>
            <w:tcW w:w="6091" w:type="dxa"/>
            <w:shd w:val="clear" w:color="auto" w:fill="2F5496" w:themeFill="accent1" w:themeFillShade="BF"/>
          </w:tcPr>
          <w:p w14:paraId="33FADD9D" w14:textId="4B334455" w:rsidR="002546AF" w:rsidRPr="0084743E" w:rsidRDefault="00E354C6" w:rsidP="000E3F78">
            <w:pPr>
              <w:autoSpaceDE w:val="0"/>
              <w:autoSpaceDN w:val="0"/>
              <w:adjustRightInd w:val="0"/>
              <w:rPr>
                <w:rFonts w:ascii="Arial" w:hAnsi="Arial" w:cs="Arial"/>
                <w:b/>
                <w:color w:val="FFFFFF" w:themeColor="background1"/>
              </w:rPr>
            </w:pPr>
            <w:r w:rsidRPr="0084743E">
              <w:rPr>
                <w:rFonts w:ascii="Arial" w:hAnsi="Arial" w:cs="Arial"/>
                <w:b/>
                <w:color w:val="FFFFFF" w:themeColor="background1"/>
              </w:rPr>
              <w:t>Education associates’</w:t>
            </w:r>
            <w:r w:rsidR="002546AF" w:rsidRPr="0084743E">
              <w:rPr>
                <w:rFonts w:ascii="Arial" w:hAnsi="Arial" w:cs="Arial"/>
                <w:b/>
                <w:color w:val="FFFFFF" w:themeColor="background1"/>
              </w:rPr>
              <w:t xml:space="preserve"> recommendation</w:t>
            </w:r>
          </w:p>
        </w:tc>
        <w:tc>
          <w:tcPr>
            <w:tcW w:w="7857" w:type="dxa"/>
          </w:tcPr>
          <w:p w14:paraId="3A14944C" w14:textId="3FBABEA0" w:rsidR="002546AF" w:rsidRPr="0084743E" w:rsidRDefault="003835BD" w:rsidP="000E3F78">
            <w:pPr>
              <w:autoSpaceDE w:val="0"/>
              <w:autoSpaceDN w:val="0"/>
              <w:adjustRightInd w:val="0"/>
              <w:rPr>
                <w:rFonts w:ascii="Arial" w:hAnsi="Arial" w:cs="Arial"/>
                <w:color w:val="000000"/>
              </w:rPr>
            </w:pPr>
            <w:r w:rsidRPr="0084743E">
              <w:rPr>
                <w:rFonts w:ascii="Arial" w:hAnsi="Arial" w:cs="Arial"/>
                <w:color w:val="000000"/>
              </w:rPr>
              <w:t xml:space="preserve">The </w:t>
            </w:r>
            <w:r w:rsidR="00120298" w:rsidRPr="00120298">
              <w:rPr>
                <w:rFonts w:ascii="Arial" w:hAnsi="Arial" w:cs="Arial"/>
                <w:color w:val="000000"/>
              </w:rPr>
              <w:t>BSc (Hons) in Dental Hygiene and Dental Therapy</w:t>
            </w:r>
            <w:r w:rsidR="002546AF" w:rsidRPr="00120298">
              <w:rPr>
                <w:rFonts w:ascii="Arial" w:hAnsi="Arial" w:cs="Arial"/>
                <w:color w:val="000000"/>
              </w:rPr>
              <w:t xml:space="preserve"> continues to be approved</w:t>
            </w:r>
            <w:r w:rsidRPr="00120298">
              <w:rPr>
                <w:rFonts w:ascii="Arial" w:hAnsi="Arial" w:cs="Arial"/>
                <w:color w:val="000000"/>
              </w:rPr>
              <w:t xml:space="preserve"> </w:t>
            </w:r>
            <w:r w:rsidR="002546AF" w:rsidRPr="00120298">
              <w:rPr>
                <w:rFonts w:ascii="Arial" w:hAnsi="Arial" w:cs="Arial"/>
                <w:color w:val="000000"/>
              </w:rPr>
              <w:t xml:space="preserve">for holders to apply for registration as a </w:t>
            </w:r>
            <w:r w:rsidR="00120298" w:rsidRPr="00120298">
              <w:rPr>
                <w:rFonts w:ascii="Arial" w:hAnsi="Arial" w:cs="Arial"/>
                <w:color w:val="000000"/>
              </w:rPr>
              <w:t>dental hygienist and therapist</w:t>
            </w:r>
            <w:r w:rsidR="00947F28" w:rsidRPr="00120298">
              <w:rPr>
                <w:rFonts w:ascii="Arial" w:hAnsi="Arial" w:cs="Arial"/>
                <w:color w:val="000000"/>
              </w:rPr>
              <w:t xml:space="preserve"> </w:t>
            </w:r>
            <w:r w:rsidR="002546AF" w:rsidRPr="0084743E">
              <w:rPr>
                <w:rFonts w:ascii="Arial" w:hAnsi="Arial" w:cs="Arial"/>
                <w:color w:val="000000"/>
              </w:rPr>
              <w:t>with the General Dental Council</w:t>
            </w:r>
            <w:r w:rsidR="00200492" w:rsidRPr="0084743E">
              <w:rPr>
                <w:rFonts w:ascii="Arial" w:hAnsi="Arial" w:cs="Arial"/>
                <w:color w:val="000000"/>
              </w:rPr>
              <w:t xml:space="preserve">. </w:t>
            </w:r>
          </w:p>
        </w:tc>
      </w:tr>
      <w:tr w:rsidR="002546AF" w:rsidRPr="0084743E" w14:paraId="5D292165" w14:textId="77777777" w:rsidTr="00682FCA">
        <w:trPr>
          <w:trHeight w:val="301"/>
        </w:trPr>
        <w:tc>
          <w:tcPr>
            <w:tcW w:w="6091" w:type="dxa"/>
            <w:shd w:val="clear" w:color="auto" w:fill="2F5496" w:themeFill="accent1" w:themeFillShade="BF"/>
          </w:tcPr>
          <w:p w14:paraId="522D1C7D" w14:textId="542AC8F2" w:rsidR="002546AF" w:rsidRPr="0084743E" w:rsidRDefault="002546AF" w:rsidP="000E3F78">
            <w:pPr>
              <w:autoSpaceDE w:val="0"/>
              <w:autoSpaceDN w:val="0"/>
              <w:adjustRightInd w:val="0"/>
              <w:rPr>
                <w:rFonts w:ascii="Arial" w:hAnsi="Arial" w:cs="Arial"/>
                <w:b/>
                <w:color w:val="FFFFFF" w:themeColor="background1"/>
              </w:rPr>
            </w:pPr>
            <w:r w:rsidRPr="0084743E">
              <w:rPr>
                <w:rFonts w:ascii="Arial" w:hAnsi="Arial" w:cs="Arial"/>
                <w:b/>
                <w:color w:val="FFFFFF" w:themeColor="background1"/>
              </w:rPr>
              <w:t>Date of next regular monitoring exercise</w:t>
            </w:r>
            <w:r w:rsidR="00E354C6" w:rsidRPr="0084743E">
              <w:rPr>
                <w:rFonts w:ascii="Arial" w:hAnsi="Arial" w:cs="Arial"/>
                <w:b/>
                <w:color w:val="FFFFFF" w:themeColor="background1"/>
              </w:rPr>
              <w:t xml:space="preserve"> </w:t>
            </w:r>
          </w:p>
        </w:tc>
        <w:tc>
          <w:tcPr>
            <w:tcW w:w="7857" w:type="dxa"/>
          </w:tcPr>
          <w:p w14:paraId="27AAC3E0" w14:textId="053FF2AC" w:rsidR="002546AF" w:rsidRPr="0084743E" w:rsidRDefault="00120298" w:rsidP="000E3F78">
            <w:pPr>
              <w:autoSpaceDE w:val="0"/>
              <w:autoSpaceDN w:val="0"/>
              <w:adjustRightInd w:val="0"/>
              <w:rPr>
                <w:rFonts w:ascii="Arial" w:hAnsi="Arial" w:cs="Arial"/>
                <w:color w:val="000000"/>
              </w:rPr>
            </w:pPr>
            <w:r>
              <w:rPr>
                <w:rFonts w:ascii="Arial" w:hAnsi="Arial" w:cs="Arial"/>
                <w:color w:val="000000"/>
              </w:rPr>
              <w:t>October 2025</w:t>
            </w:r>
          </w:p>
        </w:tc>
      </w:tr>
    </w:tbl>
    <w:p w14:paraId="19BDBA88" w14:textId="77777777" w:rsidR="002546AF" w:rsidRPr="0084743E" w:rsidRDefault="002546AF" w:rsidP="000E3F78">
      <w:pPr>
        <w:autoSpaceDE w:val="0"/>
        <w:autoSpaceDN w:val="0"/>
        <w:adjustRightInd w:val="0"/>
        <w:spacing w:after="0" w:line="240" w:lineRule="auto"/>
        <w:rPr>
          <w:rFonts w:ascii="Arial" w:hAnsi="Arial" w:cs="Arial"/>
          <w:color w:val="000000"/>
        </w:rPr>
      </w:pPr>
    </w:p>
    <w:p w14:paraId="0482BA1F" w14:textId="77777777" w:rsidR="00A208AA" w:rsidRPr="0084743E" w:rsidRDefault="00A208AA" w:rsidP="000E3F78">
      <w:pPr>
        <w:autoSpaceDE w:val="0"/>
        <w:autoSpaceDN w:val="0"/>
        <w:adjustRightInd w:val="0"/>
        <w:spacing w:after="0" w:line="240" w:lineRule="auto"/>
        <w:rPr>
          <w:rFonts w:ascii="Arial" w:hAnsi="Arial" w:cs="Arial"/>
          <w:color w:val="000000"/>
        </w:rPr>
      </w:pPr>
    </w:p>
    <w:p w14:paraId="579BC4E9" w14:textId="77777777" w:rsidR="00A208AA" w:rsidRPr="0084743E" w:rsidRDefault="00A208AA" w:rsidP="000E3F78">
      <w:pPr>
        <w:autoSpaceDE w:val="0"/>
        <w:autoSpaceDN w:val="0"/>
        <w:adjustRightInd w:val="0"/>
        <w:spacing w:after="0" w:line="240" w:lineRule="auto"/>
        <w:rPr>
          <w:rFonts w:ascii="Arial" w:hAnsi="Arial" w:cs="Arial"/>
          <w:color w:val="000000"/>
        </w:rPr>
      </w:pPr>
    </w:p>
    <w:p w14:paraId="3D27EBF2" w14:textId="77777777" w:rsidR="00CB6EEE" w:rsidRPr="0084743E" w:rsidRDefault="006B5F1C">
      <w:pPr>
        <w:rPr>
          <w:rFonts w:ascii="Arial" w:hAnsi="Arial" w:cs="Arial"/>
          <w:color w:val="000000"/>
        </w:rPr>
        <w:sectPr w:rsidR="00CB6EEE" w:rsidRPr="0084743E" w:rsidSect="00D57A79">
          <w:pgSz w:w="16838" w:h="11906" w:orient="landscape"/>
          <w:pgMar w:top="1440" w:right="1440" w:bottom="1440" w:left="1440" w:header="709" w:footer="709" w:gutter="0"/>
          <w:cols w:space="708"/>
          <w:docGrid w:linePitch="360"/>
        </w:sectPr>
      </w:pPr>
      <w:r w:rsidRPr="0084743E">
        <w:rPr>
          <w:rFonts w:ascii="Arial" w:hAnsi="Arial" w:cs="Arial"/>
          <w:color w:val="000000"/>
        </w:rPr>
        <w:br w:type="page"/>
      </w:r>
    </w:p>
    <w:p w14:paraId="0258236F" w14:textId="53B2421B" w:rsidR="006B5F1C" w:rsidRPr="0084743E" w:rsidRDefault="00CB6EEE" w:rsidP="006B5F1C">
      <w:pPr>
        <w:pStyle w:val="Default"/>
        <w:rPr>
          <w:b/>
          <w:bCs/>
          <w:sz w:val="28"/>
          <w:szCs w:val="28"/>
        </w:rPr>
      </w:pPr>
      <w:r w:rsidRPr="0084743E">
        <w:rPr>
          <w:b/>
          <w:bCs/>
          <w:sz w:val="28"/>
          <w:szCs w:val="28"/>
        </w:rPr>
        <w:lastRenderedPageBreak/>
        <w:t>Ann</w:t>
      </w:r>
      <w:r w:rsidR="006B5F1C" w:rsidRPr="0084743E">
        <w:rPr>
          <w:b/>
          <w:bCs/>
          <w:sz w:val="28"/>
          <w:szCs w:val="28"/>
        </w:rPr>
        <w:t xml:space="preserve">ex 1 </w:t>
      </w:r>
    </w:p>
    <w:p w14:paraId="6224E51B" w14:textId="77777777" w:rsidR="00F0414F" w:rsidRPr="0084743E" w:rsidRDefault="00F0414F" w:rsidP="006B5F1C">
      <w:pPr>
        <w:pStyle w:val="Default"/>
        <w:rPr>
          <w:sz w:val="28"/>
          <w:szCs w:val="28"/>
        </w:rPr>
      </w:pPr>
    </w:p>
    <w:p w14:paraId="0A53F952" w14:textId="2A98E4F1" w:rsidR="006B5F1C" w:rsidRPr="0084743E" w:rsidRDefault="006B5F1C" w:rsidP="006B5F1C">
      <w:pPr>
        <w:pStyle w:val="Default"/>
        <w:rPr>
          <w:b/>
          <w:bCs/>
          <w:sz w:val="22"/>
          <w:szCs w:val="22"/>
        </w:rPr>
      </w:pPr>
      <w:r w:rsidRPr="0084743E">
        <w:rPr>
          <w:b/>
          <w:bCs/>
          <w:sz w:val="22"/>
          <w:szCs w:val="22"/>
        </w:rPr>
        <w:t xml:space="preserve">Inspection purpose and process </w:t>
      </w:r>
    </w:p>
    <w:p w14:paraId="22A747B0" w14:textId="31631BF1" w:rsidR="00A208AA" w:rsidRPr="0084743E" w:rsidRDefault="00A208AA" w:rsidP="000E3F78">
      <w:pPr>
        <w:autoSpaceDE w:val="0"/>
        <w:autoSpaceDN w:val="0"/>
        <w:adjustRightInd w:val="0"/>
        <w:spacing w:after="0" w:line="240" w:lineRule="auto"/>
        <w:rPr>
          <w:rFonts w:ascii="Arial" w:hAnsi="Arial" w:cs="Arial"/>
          <w:color w:val="000000"/>
        </w:rPr>
      </w:pPr>
    </w:p>
    <w:p w14:paraId="164916AA"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CF74743"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1. As part of its duty to protect patients and promote high standards within the professions it regulates, the General Dental Council (GDC) quality assures the education and training of student dentists and dental care professionals (DCPs) at institutions whose qualifications enable the holder to apply for registration with the GDC. It also quality assures new qualifications where it is intended that the qualification will lead to registration. The aim of this quality assurance activity is to ensure that institutions produce a new registrant who has demonstrated, on graduation, that they have met the learning outcomes required for registration with the GDC. This ensures that students who obtain a qualification leading to registration are fit to practise at the level of a safe beginner. </w:t>
      </w:r>
    </w:p>
    <w:p w14:paraId="05757E1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7737E18" w14:textId="5D75BA1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2. Inspections are a key element of the GDC’s quality assurance activity. They enable a recommendation to be made to the Council of the GDC regarding the ‘sufficiency’ of the programme for registration as a dentist and ‘approval’ of the programme for registration as a dental care professional. The GDC’s powers are derived under Part II, Section 9 of the Dentists Act 1984 (as amended). </w:t>
      </w:r>
    </w:p>
    <w:p w14:paraId="0870EE3C" w14:textId="77777777" w:rsidR="006630F1" w:rsidRPr="0084743E" w:rsidRDefault="006630F1" w:rsidP="00072B60">
      <w:pPr>
        <w:autoSpaceDE w:val="0"/>
        <w:autoSpaceDN w:val="0"/>
        <w:adjustRightInd w:val="0"/>
        <w:spacing w:after="0" w:line="240" w:lineRule="auto"/>
        <w:rPr>
          <w:rFonts w:ascii="Arial" w:hAnsi="Arial" w:cs="Arial"/>
          <w:color w:val="000000"/>
        </w:rPr>
      </w:pPr>
    </w:p>
    <w:p w14:paraId="74B91F9B"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3. The GDC document ‘Standards for Education’ 2nd edition1 is the framework used to evaluate qualifications. There are 21 Requirements in three distinct Standards, against which each qualification is assessed. </w:t>
      </w:r>
    </w:p>
    <w:p w14:paraId="7CFE62AF"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461CCAA3"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4. The education provider is requested to undertake a self-evaluation of the programme against the individual Requirements under the Standards for Education. This involves stating whether each Requirement is ‘met’, ‘partly met’ or ‘not met’ and to provide evidence in support of their evaluation. The inspection panel examines this evidence, may request further documentary </w:t>
      </w:r>
      <w:proofErr w:type="gramStart"/>
      <w:r w:rsidRPr="0084743E">
        <w:rPr>
          <w:rFonts w:ascii="Arial" w:hAnsi="Arial" w:cs="Arial"/>
          <w:color w:val="000000"/>
        </w:rPr>
        <w:t>evidence</w:t>
      </w:r>
      <w:proofErr w:type="gramEnd"/>
      <w:r w:rsidRPr="0084743E">
        <w:rPr>
          <w:rFonts w:ascii="Arial" w:hAnsi="Arial" w:cs="Arial"/>
          <w:color w:val="000000"/>
        </w:rPr>
        <w:t xml:space="preserve"> and gathers further evidence from discussions with staff and students. The panel will reach a decision on each Requirement, using the following descriptors: </w:t>
      </w:r>
    </w:p>
    <w:p w14:paraId="59969AD1"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1BE2855"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A Requirement is met if: </w:t>
      </w:r>
    </w:p>
    <w:p w14:paraId="771E07A3"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5617F259" w14:textId="31ED3C2E"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“There is sufficient appropriate evidence derived from the inspection process. This evidence provides the </w:t>
      </w:r>
      <w:r w:rsidR="000A44A5" w:rsidRPr="0084743E">
        <w:rPr>
          <w:rFonts w:ascii="Arial" w:hAnsi="Arial" w:cs="Arial"/>
          <w:color w:val="000000"/>
        </w:rPr>
        <w:t xml:space="preserve">education associates </w:t>
      </w:r>
      <w:r w:rsidRPr="0084743E">
        <w:rPr>
          <w:rFonts w:ascii="Arial" w:hAnsi="Arial" w:cs="Arial"/>
          <w:color w:val="000000"/>
        </w:rPr>
        <w:t xml:space="preserve">with broad confidence that the provider demonstrates the Requirement. Information gathered through meetings with staff and students is supportive of documentary evidence and the evidence is robust, </w:t>
      </w:r>
      <w:proofErr w:type="gramStart"/>
      <w:r w:rsidRPr="0084743E">
        <w:rPr>
          <w:rFonts w:ascii="Arial" w:hAnsi="Arial" w:cs="Arial"/>
          <w:color w:val="000000"/>
        </w:rPr>
        <w:t>consistent</w:t>
      </w:r>
      <w:proofErr w:type="gramEnd"/>
      <w:r w:rsidRPr="0084743E">
        <w:rPr>
          <w:rFonts w:ascii="Arial" w:hAnsi="Arial" w:cs="Arial"/>
          <w:color w:val="000000"/>
        </w:rPr>
        <w:t xml:space="preserve"> and not contradictory. There may be minor deficiencies in the evidence supplied but these are likely to be inconsequential.” </w:t>
      </w:r>
    </w:p>
    <w:p w14:paraId="6FB93418"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2F106EE9"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A Requirement is partly met if: </w:t>
      </w:r>
    </w:p>
    <w:p w14:paraId="247BB398"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38A5849E"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“Evidence derived from the inspection process is either incomplete or lacks detail and, as such, fails to convince the inspection panel that the provider fully demonstrates the Requirement. Information gathered through meetings with staff and students may not fully support the evidence submitted or there may be contradictory information in the evidence provided. There is, however, some evidence of compliance and it is likely that either (a) the appropriate evidence can be supplied in a short time frame, </w:t>
      </w:r>
      <w:proofErr w:type="gramStart"/>
      <w:r w:rsidRPr="0084743E">
        <w:rPr>
          <w:rFonts w:ascii="Arial" w:hAnsi="Arial" w:cs="Arial"/>
          <w:color w:val="000000"/>
        </w:rPr>
        <w:t>or,</w:t>
      </w:r>
      <w:proofErr w:type="gramEnd"/>
      <w:r w:rsidRPr="0084743E">
        <w:rPr>
          <w:rFonts w:ascii="Arial" w:hAnsi="Arial" w:cs="Arial"/>
          <w:color w:val="000000"/>
        </w:rPr>
        <w:t xml:space="preserve"> (b) any deficiencies identified can be addressed and evidenced in the annual monitoring process.”</w:t>
      </w:r>
    </w:p>
    <w:p w14:paraId="40DD764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B0FED5F"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A Requirement is not met if:</w:t>
      </w:r>
    </w:p>
    <w:p w14:paraId="7D120BF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38629E69"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lastRenderedPageBreak/>
        <w:t xml:space="preserve">“The provider cannot provide evidence to demonstrate a </w:t>
      </w:r>
      <w:proofErr w:type="gramStart"/>
      <w:r w:rsidRPr="0084743E">
        <w:rPr>
          <w:rFonts w:ascii="Arial" w:hAnsi="Arial" w:cs="Arial"/>
          <w:color w:val="000000"/>
        </w:rPr>
        <w:t>Requirement</w:t>
      </w:r>
      <w:proofErr w:type="gramEnd"/>
      <w:r w:rsidRPr="0084743E">
        <w:rPr>
          <w:rFonts w:ascii="Arial" w:hAnsi="Arial" w:cs="Arial"/>
          <w:color w:val="000000"/>
        </w:rPr>
        <w:t xml:space="preserve"> or the evidence provided is not convincing. The information gathered at the inspection through meetings with staff and students does not support the evidence provided or the evidence is inconsistent and/or incompatible with other findings. The deficiencies identified are such as to give rise to serious concern and will require an immediate action plan from the provider. The consequences of not meeting a Requirement in terms of the overall sufficiency of a programme will depend upon the compliance of the provider across the range of Requirements and the possible implications for public </w:t>
      </w:r>
      <w:proofErr w:type="gramStart"/>
      <w:r w:rsidRPr="0084743E">
        <w:rPr>
          <w:rFonts w:ascii="Arial" w:hAnsi="Arial" w:cs="Arial"/>
          <w:color w:val="000000"/>
        </w:rPr>
        <w:t>protection”</w:t>
      </w:r>
      <w:proofErr w:type="gramEnd"/>
      <w:r w:rsidRPr="0084743E">
        <w:rPr>
          <w:rFonts w:ascii="Arial" w:hAnsi="Arial" w:cs="Arial"/>
          <w:color w:val="000000"/>
        </w:rPr>
        <w:t xml:space="preserve"> </w:t>
      </w:r>
    </w:p>
    <w:p w14:paraId="3A63F04C"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27065865" w14:textId="56DACE3F"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5. Inspection reports highlight areas of strength and draw attention to areas requiring improvement and development, including actions that are required to be undertaken by the provider. </w:t>
      </w:r>
      <w:bookmarkStart w:id="1" w:name="_Hlk48834156"/>
      <w:r w:rsidRPr="0084743E">
        <w:rPr>
          <w:rFonts w:ascii="Arial" w:hAnsi="Arial" w:cs="Arial"/>
          <w:color w:val="000000"/>
        </w:rPr>
        <w:t xml:space="preserve">Where an action is needed for a Requirement to be met, </w:t>
      </w:r>
      <w:bookmarkStart w:id="2" w:name="_Hlk48834100"/>
      <w:r w:rsidRPr="0084743E">
        <w:rPr>
          <w:rFonts w:ascii="Arial" w:hAnsi="Arial" w:cs="Arial"/>
          <w:color w:val="000000"/>
        </w:rPr>
        <w:t xml:space="preserve">the term ‘must’ </w:t>
      </w:r>
      <w:proofErr w:type="gramStart"/>
      <w:r w:rsidRPr="0084743E">
        <w:rPr>
          <w:rFonts w:ascii="Arial" w:hAnsi="Arial" w:cs="Arial"/>
          <w:color w:val="000000"/>
        </w:rPr>
        <w:t>is</w:t>
      </w:r>
      <w:proofErr w:type="gramEnd"/>
      <w:r w:rsidRPr="0084743E">
        <w:rPr>
          <w:rFonts w:ascii="Arial" w:hAnsi="Arial" w:cs="Arial"/>
          <w:color w:val="000000"/>
        </w:rPr>
        <w:t xml:space="preserve"> used to describe the obligation on the provider to undertake this action. For these actions the </w:t>
      </w:r>
      <w:r w:rsidR="000A44A5" w:rsidRPr="0084743E">
        <w:rPr>
          <w:rFonts w:ascii="Arial" w:hAnsi="Arial" w:cs="Arial"/>
          <w:color w:val="000000"/>
        </w:rPr>
        <w:t xml:space="preserve">education associates </w:t>
      </w:r>
      <w:r w:rsidR="007C7855" w:rsidRPr="0084743E">
        <w:rPr>
          <w:rFonts w:ascii="Arial" w:hAnsi="Arial" w:cs="Arial"/>
          <w:color w:val="000000"/>
        </w:rPr>
        <w:t>must</w:t>
      </w:r>
      <w:r w:rsidRPr="0084743E">
        <w:rPr>
          <w:rFonts w:ascii="Arial" w:hAnsi="Arial" w:cs="Arial"/>
          <w:color w:val="000000"/>
        </w:rPr>
        <w:t xml:space="preserve"> stipulate a specific timescale by which the action must be completed or when an update on progress must be provided</w:t>
      </w:r>
      <w:bookmarkEnd w:id="1"/>
      <w:bookmarkEnd w:id="2"/>
      <w:r w:rsidRPr="0084743E">
        <w:rPr>
          <w:rFonts w:ascii="Arial" w:hAnsi="Arial" w:cs="Arial"/>
          <w:color w:val="000000"/>
        </w:rPr>
        <w:t xml:space="preserve">. In their observations on the content of the report, the provider should confirm the anticipated date by which these actions will be completed. </w:t>
      </w:r>
      <w:bookmarkStart w:id="3" w:name="_Hlk48834274"/>
      <w:r w:rsidRPr="0084743E">
        <w:rPr>
          <w:rFonts w:ascii="Arial" w:hAnsi="Arial" w:cs="Arial"/>
          <w:color w:val="000000"/>
        </w:rPr>
        <w:t xml:space="preserve">Where an action would improve how a Requirement is met, the term ‘should’ </w:t>
      </w:r>
      <w:proofErr w:type="gramStart"/>
      <w:r w:rsidRPr="0084743E">
        <w:rPr>
          <w:rFonts w:ascii="Arial" w:hAnsi="Arial" w:cs="Arial"/>
          <w:color w:val="000000"/>
        </w:rPr>
        <w:t>is</w:t>
      </w:r>
      <w:proofErr w:type="gramEnd"/>
      <w:r w:rsidRPr="0084743E">
        <w:rPr>
          <w:rFonts w:ascii="Arial" w:hAnsi="Arial" w:cs="Arial"/>
          <w:color w:val="000000"/>
        </w:rPr>
        <w:t xml:space="preserve"> used and for these actions there will be no due date stipulated</w:t>
      </w:r>
      <w:bookmarkEnd w:id="3"/>
      <w:r w:rsidRPr="0084743E">
        <w:rPr>
          <w:rFonts w:ascii="Arial" w:hAnsi="Arial" w:cs="Arial"/>
          <w:color w:val="000000"/>
        </w:rPr>
        <w:t xml:space="preserve">. Providers will be asked to report on the progress in addressing the required actions through the monitoring process. Serious concerns about a lack of progress may result in further inspections or other quality assurance activity. </w:t>
      </w:r>
    </w:p>
    <w:p w14:paraId="3979EACA"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153127E5" w14:textId="33EB5338"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6. The </w:t>
      </w:r>
      <w:r w:rsidR="006630F1" w:rsidRPr="0084743E">
        <w:rPr>
          <w:rFonts w:ascii="Arial" w:hAnsi="Arial" w:cs="Arial"/>
          <w:color w:val="000000"/>
        </w:rPr>
        <w:t>E</w:t>
      </w:r>
      <w:r w:rsidR="000A44A5" w:rsidRPr="0084743E">
        <w:rPr>
          <w:rFonts w:ascii="Arial" w:hAnsi="Arial" w:cs="Arial"/>
          <w:color w:val="000000"/>
        </w:rPr>
        <w:t xml:space="preserve">ducation Quality Assurance </w:t>
      </w:r>
      <w:r w:rsidRPr="0084743E">
        <w:rPr>
          <w:rFonts w:ascii="Arial" w:hAnsi="Arial" w:cs="Arial"/>
          <w:color w:val="000000"/>
        </w:rPr>
        <w:t xml:space="preserve">team aims to send an initial draft of the inspection report to the provider within two months of the conclusion of the inspection. The provider of the qualification </w:t>
      </w:r>
      <w:proofErr w:type="gramStart"/>
      <w:r w:rsidRPr="0084743E">
        <w:rPr>
          <w:rFonts w:ascii="Arial" w:hAnsi="Arial" w:cs="Arial"/>
          <w:color w:val="000000"/>
        </w:rPr>
        <w:t>has the opportunity to</w:t>
      </w:r>
      <w:proofErr w:type="gramEnd"/>
      <w:r w:rsidRPr="0084743E">
        <w:rPr>
          <w:rFonts w:ascii="Arial" w:hAnsi="Arial" w:cs="Arial"/>
          <w:color w:val="000000"/>
        </w:rPr>
        <w:t xml:space="preserve"> provide factual corrections on the draft report. Following the production of the final report the provider is asked to submit observations on, or objections to, the report and the actions listed. Where the inspection panel have recommended that the programme is sufficient for registration, the Council of the GDC have delegated responsibility to the GDC Registrar to consider the recommendations of the panel. Should an inspection panel not be able to recommend ‘sufficiency’ or ‘approval’, the report and observations would be presented to the Council of the GDC for consideration. </w:t>
      </w:r>
    </w:p>
    <w:p w14:paraId="19D42DDF"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47EEB0C6" w14:textId="2C1EF068" w:rsidR="00D331B5" w:rsidRPr="0084743E" w:rsidRDefault="00072B60" w:rsidP="003835BD">
      <w:pPr>
        <w:autoSpaceDE w:val="0"/>
        <w:autoSpaceDN w:val="0"/>
        <w:adjustRightInd w:val="0"/>
        <w:spacing w:after="0" w:line="240" w:lineRule="auto"/>
        <w:rPr>
          <w:rFonts w:ascii="Calibri" w:hAnsi="Calibri" w:cs="Calibri"/>
          <w:color w:val="1F3864" w:themeColor="accent1" w:themeShade="80"/>
          <w:sz w:val="28"/>
        </w:rPr>
      </w:pPr>
      <w:r w:rsidRPr="0084743E">
        <w:rPr>
          <w:rFonts w:ascii="Arial" w:hAnsi="Arial" w:cs="Arial"/>
          <w:color w:val="000000"/>
        </w:rPr>
        <w:t>7. The final version of the report and the provider’s observations are published on the GDC websit</w:t>
      </w:r>
      <w:r w:rsidR="00102531" w:rsidRPr="0084743E">
        <w:rPr>
          <w:rFonts w:ascii="Arial" w:hAnsi="Arial" w:cs="Arial"/>
          <w:color w:val="000000"/>
        </w:rPr>
        <w:t>e.</w:t>
      </w:r>
    </w:p>
    <w:sectPr w:rsidR="00D331B5" w:rsidRPr="0084743E" w:rsidSect="00D57A7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FA951" w14:textId="77777777" w:rsidR="005826F3" w:rsidRDefault="005826F3">
      <w:pPr>
        <w:spacing w:after="0" w:line="240" w:lineRule="auto"/>
      </w:pPr>
      <w:r>
        <w:separator/>
      </w:r>
    </w:p>
  </w:endnote>
  <w:endnote w:type="continuationSeparator" w:id="0">
    <w:p w14:paraId="119DC7C6" w14:textId="77777777" w:rsidR="005826F3" w:rsidRDefault="005826F3">
      <w:pPr>
        <w:spacing w:after="0" w:line="240" w:lineRule="auto"/>
      </w:pPr>
      <w:r>
        <w:continuationSeparator/>
      </w:r>
    </w:p>
  </w:endnote>
  <w:endnote w:type="continuationNotice" w:id="1">
    <w:p w14:paraId="10F0A0B8" w14:textId="77777777" w:rsidR="005826F3" w:rsidRDefault="00582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004312"/>
      <w:docPartObj>
        <w:docPartGallery w:val="Page Numbers (Bottom of Page)"/>
        <w:docPartUnique/>
      </w:docPartObj>
    </w:sdtPr>
    <w:sdtEndPr>
      <w:rPr>
        <w:noProof/>
      </w:rPr>
    </w:sdtEndPr>
    <w:sdtContent>
      <w:p w14:paraId="1D1D7F2D" w14:textId="3BBF885B" w:rsidR="00711964" w:rsidRDefault="00711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04A63" w14:textId="4EC44631" w:rsidR="003835BD" w:rsidRPr="00CB6EEE" w:rsidRDefault="003835BD" w:rsidP="00CB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F17B8" w14:textId="77777777" w:rsidR="005826F3" w:rsidRDefault="005826F3">
      <w:pPr>
        <w:spacing w:after="0" w:line="240" w:lineRule="auto"/>
      </w:pPr>
      <w:r>
        <w:separator/>
      </w:r>
    </w:p>
  </w:footnote>
  <w:footnote w:type="continuationSeparator" w:id="0">
    <w:p w14:paraId="43F8C221" w14:textId="77777777" w:rsidR="005826F3" w:rsidRDefault="005826F3">
      <w:pPr>
        <w:spacing w:after="0" w:line="240" w:lineRule="auto"/>
      </w:pPr>
      <w:r>
        <w:continuationSeparator/>
      </w:r>
    </w:p>
  </w:footnote>
  <w:footnote w:type="continuationNotice" w:id="1">
    <w:p w14:paraId="56921BBB" w14:textId="77777777" w:rsidR="005826F3" w:rsidRDefault="005826F3">
      <w:pPr>
        <w:spacing w:after="0" w:line="240" w:lineRule="auto"/>
      </w:pPr>
    </w:p>
  </w:footnote>
  <w:footnote w:id="2">
    <w:p w14:paraId="51B743D2" w14:textId="783F00FD" w:rsidR="00F671FD" w:rsidRDefault="00F671FD">
      <w:pPr>
        <w:pStyle w:val="FootnoteText"/>
      </w:pPr>
      <w:r>
        <w:rPr>
          <w:rStyle w:val="FootnoteReference"/>
        </w:rPr>
        <w:footnoteRef/>
      </w:r>
      <w:r>
        <w:t xml:space="preserve"> All Requirements within the </w:t>
      </w:r>
      <w:r>
        <w:rPr>
          <w:i/>
        </w:rPr>
        <w:t xml:space="preserve">Standards for Education </w:t>
      </w:r>
      <w:r>
        <w:t>are applicable for all programmes</w:t>
      </w:r>
      <w:r w:rsidR="00292831">
        <w:t xml:space="preserve"> unless otherwise stated</w:t>
      </w:r>
      <w:r>
        <w:t xml:space="preserve">. Specific </w:t>
      </w:r>
      <w:r w:rsidR="000957F1">
        <w:t>r</w:t>
      </w:r>
      <w:r>
        <w:t xml:space="preserve">equirements will be examined through inspection activity </w:t>
      </w:r>
      <w:r w:rsidR="000957F1">
        <w:t>and will be identified</w:t>
      </w:r>
      <w:r>
        <w:t xml:space="preserve"> via risk analysis processes or due to current thematic reviews.</w:t>
      </w:r>
    </w:p>
  </w:footnote>
</w:footnotes>
</file>

<file path=word/intelligence2.xml><?xml version="1.0" encoding="utf-8"?>
<int2:intelligence xmlns:int2="http://schemas.microsoft.com/office/intelligence/2020/intelligence" xmlns:oel="http://schemas.microsoft.com/office/2019/extlst">
  <int2:observations>
    <int2:bookmark int2:bookmarkName="_Int_5xOpLDXp" int2:invalidationBookmarkName="" int2:hashCode="ADSzW36MXYc2EG" int2:id="hPk1n42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31F9"/>
    <w:multiLevelType w:val="hybridMultilevel"/>
    <w:tmpl w:val="CBF6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87941"/>
    <w:multiLevelType w:val="hybridMultilevel"/>
    <w:tmpl w:val="3EFA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161A3"/>
    <w:multiLevelType w:val="hybridMultilevel"/>
    <w:tmpl w:val="A900D3F0"/>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09B468D1"/>
    <w:multiLevelType w:val="hybridMultilevel"/>
    <w:tmpl w:val="EDEA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968B2"/>
    <w:multiLevelType w:val="hybridMultilevel"/>
    <w:tmpl w:val="673E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94D57"/>
    <w:multiLevelType w:val="hybridMultilevel"/>
    <w:tmpl w:val="7828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9241E"/>
    <w:multiLevelType w:val="hybridMultilevel"/>
    <w:tmpl w:val="AC2E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C7163"/>
    <w:multiLevelType w:val="hybridMultilevel"/>
    <w:tmpl w:val="5E0A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F04A7"/>
    <w:multiLevelType w:val="hybridMultilevel"/>
    <w:tmpl w:val="2FE4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31F15"/>
    <w:multiLevelType w:val="hybridMultilevel"/>
    <w:tmpl w:val="5E42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5471A"/>
    <w:multiLevelType w:val="hybridMultilevel"/>
    <w:tmpl w:val="07C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43A5A"/>
    <w:multiLevelType w:val="hybridMultilevel"/>
    <w:tmpl w:val="B4C8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6743F"/>
    <w:multiLevelType w:val="hybridMultilevel"/>
    <w:tmpl w:val="E0FA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733B2"/>
    <w:multiLevelType w:val="hybridMultilevel"/>
    <w:tmpl w:val="1576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901FB"/>
    <w:multiLevelType w:val="hybridMultilevel"/>
    <w:tmpl w:val="3DA2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70A17"/>
    <w:multiLevelType w:val="hybridMultilevel"/>
    <w:tmpl w:val="870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7" w15:restartNumberingAfterBreak="0">
    <w:nsid w:val="36C73546"/>
    <w:multiLevelType w:val="hybridMultilevel"/>
    <w:tmpl w:val="E8D6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46A1F"/>
    <w:multiLevelType w:val="hybridMultilevel"/>
    <w:tmpl w:val="FB9A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C6BA9"/>
    <w:multiLevelType w:val="hybridMultilevel"/>
    <w:tmpl w:val="96EC706C"/>
    <w:lvl w:ilvl="0" w:tplc="B4E67BE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B0A6A"/>
    <w:multiLevelType w:val="hybridMultilevel"/>
    <w:tmpl w:val="9052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83A53"/>
    <w:multiLevelType w:val="hybridMultilevel"/>
    <w:tmpl w:val="8E1C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DA6DA9"/>
    <w:multiLevelType w:val="hybridMultilevel"/>
    <w:tmpl w:val="5EBC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62477"/>
    <w:multiLevelType w:val="hybridMultilevel"/>
    <w:tmpl w:val="52E4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F7E51"/>
    <w:multiLevelType w:val="hybridMultilevel"/>
    <w:tmpl w:val="8E46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27944"/>
    <w:multiLevelType w:val="hybridMultilevel"/>
    <w:tmpl w:val="3EE0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AA4BA7"/>
    <w:multiLevelType w:val="hybridMultilevel"/>
    <w:tmpl w:val="F50EA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BA5854"/>
    <w:multiLevelType w:val="hybridMultilevel"/>
    <w:tmpl w:val="BB40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700BD"/>
    <w:multiLevelType w:val="hybridMultilevel"/>
    <w:tmpl w:val="0868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8414E"/>
    <w:multiLevelType w:val="hybridMultilevel"/>
    <w:tmpl w:val="338C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2315C"/>
    <w:multiLevelType w:val="hybridMultilevel"/>
    <w:tmpl w:val="C8B8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021581"/>
    <w:multiLevelType w:val="hybridMultilevel"/>
    <w:tmpl w:val="44C2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5A32AE"/>
    <w:multiLevelType w:val="hybridMultilevel"/>
    <w:tmpl w:val="D4C0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E025B"/>
    <w:multiLevelType w:val="hybridMultilevel"/>
    <w:tmpl w:val="17AC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927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16129765">
    <w:abstractNumId w:val="19"/>
  </w:num>
  <w:num w:numId="3" w16cid:durableId="3289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4548987">
    <w:abstractNumId w:val="26"/>
  </w:num>
  <w:num w:numId="5" w16cid:durableId="927346962">
    <w:abstractNumId w:val="2"/>
  </w:num>
  <w:num w:numId="6" w16cid:durableId="1507476807">
    <w:abstractNumId w:val="15"/>
  </w:num>
  <w:num w:numId="7" w16cid:durableId="1992442692">
    <w:abstractNumId w:val="18"/>
  </w:num>
  <w:num w:numId="8" w16cid:durableId="1809592116">
    <w:abstractNumId w:val="8"/>
  </w:num>
  <w:num w:numId="9" w16cid:durableId="1209606900">
    <w:abstractNumId w:val="13"/>
  </w:num>
  <w:num w:numId="10" w16cid:durableId="1952391927">
    <w:abstractNumId w:val="11"/>
  </w:num>
  <w:num w:numId="11" w16cid:durableId="1723557937">
    <w:abstractNumId w:val="14"/>
  </w:num>
  <w:num w:numId="12" w16cid:durableId="933587309">
    <w:abstractNumId w:val="4"/>
  </w:num>
  <w:num w:numId="13" w16cid:durableId="1019283262">
    <w:abstractNumId w:val="32"/>
  </w:num>
  <w:num w:numId="14" w16cid:durableId="293757459">
    <w:abstractNumId w:val="22"/>
  </w:num>
  <w:num w:numId="15" w16cid:durableId="527565468">
    <w:abstractNumId w:val="6"/>
  </w:num>
  <w:num w:numId="16" w16cid:durableId="68772409">
    <w:abstractNumId w:val="0"/>
  </w:num>
  <w:num w:numId="17" w16cid:durableId="1792623968">
    <w:abstractNumId w:val="27"/>
  </w:num>
  <w:num w:numId="18" w16cid:durableId="1043943102">
    <w:abstractNumId w:val="33"/>
  </w:num>
  <w:num w:numId="19" w16cid:durableId="353239112">
    <w:abstractNumId w:val="29"/>
  </w:num>
  <w:num w:numId="20" w16cid:durableId="680620714">
    <w:abstractNumId w:val="31"/>
  </w:num>
  <w:num w:numId="21" w16cid:durableId="1195732964">
    <w:abstractNumId w:val="9"/>
  </w:num>
  <w:num w:numId="22" w16cid:durableId="974480426">
    <w:abstractNumId w:val="23"/>
  </w:num>
  <w:num w:numId="23" w16cid:durableId="407651874">
    <w:abstractNumId w:val="30"/>
  </w:num>
  <w:num w:numId="24" w16cid:durableId="1187865339">
    <w:abstractNumId w:val="20"/>
  </w:num>
  <w:num w:numId="25" w16cid:durableId="1470244906">
    <w:abstractNumId w:val="28"/>
  </w:num>
  <w:num w:numId="26" w16cid:durableId="625352942">
    <w:abstractNumId w:val="1"/>
  </w:num>
  <w:num w:numId="27" w16cid:durableId="409346995">
    <w:abstractNumId w:val="7"/>
  </w:num>
  <w:num w:numId="28" w16cid:durableId="1408652718">
    <w:abstractNumId w:val="17"/>
  </w:num>
  <w:num w:numId="29" w16cid:durableId="92434190">
    <w:abstractNumId w:val="21"/>
  </w:num>
  <w:num w:numId="30" w16cid:durableId="178929857">
    <w:abstractNumId w:val="24"/>
  </w:num>
  <w:num w:numId="31" w16cid:durableId="1124151682">
    <w:abstractNumId w:val="12"/>
  </w:num>
  <w:num w:numId="32" w16cid:durableId="330185115">
    <w:abstractNumId w:val="10"/>
  </w:num>
  <w:num w:numId="33" w16cid:durableId="801078867">
    <w:abstractNumId w:val="5"/>
  </w:num>
  <w:num w:numId="34" w16cid:durableId="801964294">
    <w:abstractNumId w:val="3"/>
  </w:num>
  <w:num w:numId="35" w16cid:durableId="8019965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5"/>
    <w:rsid w:val="0000445E"/>
    <w:rsid w:val="000179D0"/>
    <w:rsid w:val="00021AC6"/>
    <w:rsid w:val="0003751A"/>
    <w:rsid w:val="00041BFA"/>
    <w:rsid w:val="0004536A"/>
    <w:rsid w:val="0005418F"/>
    <w:rsid w:val="000546EE"/>
    <w:rsid w:val="00072B60"/>
    <w:rsid w:val="00075101"/>
    <w:rsid w:val="0007644E"/>
    <w:rsid w:val="00077D94"/>
    <w:rsid w:val="00082F5C"/>
    <w:rsid w:val="00087ED9"/>
    <w:rsid w:val="00093A44"/>
    <w:rsid w:val="000957F1"/>
    <w:rsid w:val="000A44A5"/>
    <w:rsid w:val="000A4557"/>
    <w:rsid w:val="000A6A8E"/>
    <w:rsid w:val="000B0E7C"/>
    <w:rsid w:val="000B66A7"/>
    <w:rsid w:val="000C5FBE"/>
    <w:rsid w:val="000E3F78"/>
    <w:rsid w:val="000F05B8"/>
    <w:rsid w:val="000F356B"/>
    <w:rsid w:val="000F35D6"/>
    <w:rsid w:val="00102531"/>
    <w:rsid w:val="00102C9F"/>
    <w:rsid w:val="001045CE"/>
    <w:rsid w:val="0011337F"/>
    <w:rsid w:val="00115CF1"/>
    <w:rsid w:val="00120298"/>
    <w:rsid w:val="00122378"/>
    <w:rsid w:val="001256B7"/>
    <w:rsid w:val="0013067E"/>
    <w:rsid w:val="0013320D"/>
    <w:rsid w:val="0014163F"/>
    <w:rsid w:val="00143716"/>
    <w:rsid w:val="00146B8A"/>
    <w:rsid w:val="00150F5F"/>
    <w:rsid w:val="00151834"/>
    <w:rsid w:val="00155B96"/>
    <w:rsid w:val="00166237"/>
    <w:rsid w:val="00167D74"/>
    <w:rsid w:val="0017042B"/>
    <w:rsid w:val="00170C2B"/>
    <w:rsid w:val="001823F8"/>
    <w:rsid w:val="0018784F"/>
    <w:rsid w:val="00192C8E"/>
    <w:rsid w:val="001960C1"/>
    <w:rsid w:val="001B443A"/>
    <w:rsid w:val="001B5978"/>
    <w:rsid w:val="001B6AE7"/>
    <w:rsid w:val="001C2599"/>
    <w:rsid w:val="001C7E2A"/>
    <w:rsid w:val="001D370F"/>
    <w:rsid w:val="001D478A"/>
    <w:rsid w:val="001D7BFC"/>
    <w:rsid w:val="001F2FA7"/>
    <w:rsid w:val="001F608F"/>
    <w:rsid w:val="00200492"/>
    <w:rsid w:val="00204D49"/>
    <w:rsid w:val="00204EAF"/>
    <w:rsid w:val="0021649C"/>
    <w:rsid w:val="002234B0"/>
    <w:rsid w:val="002237D4"/>
    <w:rsid w:val="00235015"/>
    <w:rsid w:val="0024386D"/>
    <w:rsid w:val="00253F6C"/>
    <w:rsid w:val="002546AF"/>
    <w:rsid w:val="002637C0"/>
    <w:rsid w:val="002918E1"/>
    <w:rsid w:val="00292831"/>
    <w:rsid w:val="00295E85"/>
    <w:rsid w:val="00295F68"/>
    <w:rsid w:val="002979E8"/>
    <w:rsid w:val="002A2240"/>
    <w:rsid w:val="002A6931"/>
    <w:rsid w:val="002B5FD0"/>
    <w:rsid w:val="002B794D"/>
    <w:rsid w:val="002E4205"/>
    <w:rsid w:val="002F161B"/>
    <w:rsid w:val="002F731B"/>
    <w:rsid w:val="002F7A0D"/>
    <w:rsid w:val="00304319"/>
    <w:rsid w:val="00311D1F"/>
    <w:rsid w:val="00316C7A"/>
    <w:rsid w:val="00325ADE"/>
    <w:rsid w:val="00346E10"/>
    <w:rsid w:val="00350EBF"/>
    <w:rsid w:val="00351990"/>
    <w:rsid w:val="003545D7"/>
    <w:rsid w:val="00363DE9"/>
    <w:rsid w:val="00365487"/>
    <w:rsid w:val="00365A2C"/>
    <w:rsid w:val="0037630C"/>
    <w:rsid w:val="003832A5"/>
    <w:rsid w:val="003835BD"/>
    <w:rsid w:val="0038522C"/>
    <w:rsid w:val="003878F0"/>
    <w:rsid w:val="003A44A1"/>
    <w:rsid w:val="003B65CB"/>
    <w:rsid w:val="003C7830"/>
    <w:rsid w:val="003D0028"/>
    <w:rsid w:val="003D2C5F"/>
    <w:rsid w:val="003E40A3"/>
    <w:rsid w:val="003E6929"/>
    <w:rsid w:val="00404940"/>
    <w:rsid w:val="004065F3"/>
    <w:rsid w:val="00411432"/>
    <w:rsid w:val="0041287D"/>
    <w:rsid w:val="00415D90"/>
    <w:rsid w:val="004213EA"/>
    <w:rsid w:val="00426B85"/>
    <w:rsid w:val="00444DEB"/>
    <w:rsid w:val="00447778"/>
    <w:rsid w:val="00447DE9"/>
    <w:rsid w:val="00450E1A"/>
    <w:rsid w:val="0045508E"/>
    <w:rsid w:val="00456B93"/>
    <w:rsid w:val="00463F4F"/>
    <w:rsid w:val="00470059"/>
    <w:rsid w:val="004756A9"/>
    <w:rsid w:val="0047751D"/>
    <w:rsid w:val="00481029"/>
    <w:rsid w:val="0048296E"/>
    <w:rsid w:val="00482D08"/>
    <w:rsid w:val="00490A42"/>
    <w:rsid w:val="004A57A3"/>
    <w:rsid w:val="004A6178"/>
    <w:rsid w:val="004C2BE9"/>
    <w:rsid w:val="004D286C"/>
    <w:rsid w:val="004D71BA"/>
    <w:rsid w:val="004E3377"/>
    <w:rsid w:val="004E3EAD"/>
    <w:rsid w:val="004E67B3"/>
    <w:rsid w:val="004E6856"/>
    <w:rsid w:val="004E7320"/>
    <w:rsid w:val="004F1DCA"/>
    <w:rsid w:val="004F4EC4"/>
    <w:rsid w:val="004F5154"/>
    <w:rsid w:val="004F63E3"/>
    <w:rsid w:val="00505F07"/>
    <w:rsid w:val="00506C6C"/>
    <w:rsid w:val="00511F04"/>
    <w:rsid w:val="00525B82"/>
    <w:rsid w:val="00527931"/>
    <w:rsid w:val="005373E7"/>
    <w:rsid w:val="00554BBE"/>
    <w:rsid w:val="00561367"/>
    <w:rsid w:val="00562480"/>
    <w:rsid w:val="00564251"/>
    <w:rsid w:val="00564FC2"/>
    <w:rsid w:val="00581A13"/>
    <w:rsid w:val="005826F3"/>
    <w:rsid w:val="00591536"/>
    <w:rsid w:val="005921A0"/>
    <w:rsid w:val="00593442"/>
    <w:rsid w:val="00597103"/>
    <w:rsid w:val="005A2DD1"/>
    <w:rsid w:val="005B5D66"/>
    <w:rsid w:val="005C2B76"/>
    <w:rsid w:val="005E2E82"/>
    <w:rsid w:val="0060678A"/>
    <w:rsid w:val="00615173"/>
    <w:rsid w:val="00615492"/>
    <w:rsid w:val="006311DC"/>
    <w:rsid w:val="00634B4E"/>
    <w:rsid w:val="006354B8"/>
    <w:rsid w:val="00641FE2"/>
    <w:rsid w:val="00644F3D"/>
    <w:rsid w:val="0065324F"/>
    <w:rsid w:val="006630F1"/>
    <w:rsid w:val="00670030"/>
    <w:rsid w:val="00671D27"/>
    <w:rsid w:val="00673EAC"/>
    <w:rsid w:val="00682FCA"/>
    <w:rsid w:val="00684F28"/>
    <w:rsid w:val="0069165A"/>
    <w:rsid w:val="00697FC0"/>
    <w:rsid w:val="006A6ABF"/>
    <w:rsid w:val="006B5251"/>
    <w:rsid w:val="006B599A"/>
    <w:rsid w:val="006B5F1C"/>
    <w:rsid w:val="006C31FF"/>
    <w:rsid w:val="006C77E5"/>
    <w:rsid w:val="006D2D6C"/>
    <w:rsid w:val="006E2DE3"/>
    <w:rsid w:val="006E37EC"/>
    <w:rsid w:val="006E5709"/>
    <w:rsid w:val="006F2086"/>
    <w:rsid w:val="006F2108"/>
    <w:rsid w:val="006F5EAE"/>
    <w:rsid w:val="007040EE"/>
    <w:rsid w:val="00707AA6"/>
    <w:rsid w:val="00710557"/>
    <w:rsid w:val="007105F3"/>
    <w:rsid w:val="00711964"/>
    <w:rsid w:val="00714D1C"/>
    <w:rsid w:val="00720343"/>
    <w:rsid w:val="0072174B"/>
    <w:rsid w:val="007342CF"/>
    <w:rsid w:val="007538B4"/>
    <w:rsid w:val="00755710"/>
    <w:rsid w:val="0075694B"/>
    <w:rsid w:val="0076642D"/>
    <w:rsid w:val="00767F91"/>
    <w:rsid w:val="007743A4"/>
    <w:rsid w:val="0078134A"/>
    <w:rsid w:val="007907E8"/>
    <w:rsid w:val="00790925"/>
    <w:rsid w:val="00791FA4"/>
    <w:rsid w:val="007A1602"/>
    <w:rsid w:val="007A172B"/>
    <w:rsid w:val="007A31A2"/>
    <w:rsid w:val="007A3F3B"/>
    <w:rsid w:val="007A78C5"/>
    <w:rsid w:val="007B1468"/>
    <w:rsid w:val="007C222F"/>
    <w:rsid w:val="007C7855"/>
    <w:rsid w:val="007D5150"/>
    <w:rsid w:val="007D5D73"/>
    <w:rsid w:val="007F342C"/>
    <w:rsid w:val="007F3D8D"/>
    <w:rsid w:val="007F4D6F"/>
    <w:rsid w:val="008011B9"/>
    <w:rsid w:val="00806D2D"/>
    <w:rsid w:val="00812B85"/>
    <w:rsid w:val="00812B97"/>
    <w:rsid w:val="0082378A"/>
    <w:rsid w:val="00827B0C"/>
    <w:rsid w:val="00831FC8"/>
    <w:rsid w:val="00835215"/>
    <w:rsid w:val="00844E7E"/>
    <w:rsid w:val="0084686C"/>
    <w:rsid w:val="0084743E"/>
    <w:rsid w:val="00851B34"/>
    <w:rsid w:val="00855B38"/>
    <w:rsid w:val="008575D3"/>
    <w:rsid w:val="00880CAB"/>
    <w:rsid w:val="00882D63"/>
    <w:rsid w:val="00887BB3"/>
    <w:rsid w:val="008954B6"/>
    <w:rsid w:val="00896F94"/>
    <w:rsid w:val="00897CA7"/>
    <w:rsid w:val="008A1D8F"/>
    <w:rsid w:val="008B0FE1"/>
    <w:rsid w:val="008B4A2F"/>
    <w:rsid w:val="008D0CC0"/>
    <w:rsid w:val="008D1657"/>
    <w:rsid w:val="008E44A2"/>
    <w:rsid w:val="008E4A71"/>
    <w:rsid w:val="008E5E0F"/>
    <w:rsid w:val="00900C98"/>
    <w:rsid w:val="00902A1E"/>
    <w:rsid w:val="00905856"/>
    <w:rsid w:val="00906DD0"/>
    <w:rsid w:val="00916E9B"/>
    <w:rsid w:val="009201CA"/>
    <w:rsid w:val="009237A1"/>
    <w:rsid w:val="009253E3"/>
    <w:rsid w:val="0093315A"/>
    <w:rsid w:val="009465EF"/>
    <w:rsid w:val="00947F28"/>
    <w:rsid w:val="009505AC"/>
    <w:rsid w:val="00955BCA"/>
    <w:rsid w:val="009611A6"/>
    <w:rsid w:val="00961B18"/>
    <w:rsid w:val="009641AF"/>
    <w:rsid w:val="009642CA"/>
    <w:rsid w:val="00966A70"/>
    <w:rsid w:val="00976667"/>
    <w:rsid w:val="0098137A"/>
    <w:rsid w:val="0098457E"/>
    <w:rsid w:val="0099377A"/>
    <w:rsid w:val="00993CC6"/>
    <w:rsid w:val="009A399B"/>
    <w:rsid w:val="009A512D"/>
    <w:rsid w:val="009B01DF"/>
    <w:rsid w:val="009B3077"/>
    <w:rsid w:val="009B329B"/>
    <w:rsid w:val="009B42D9"/>
    <w:rsid w:val="009B455F"/>
    <w:rsid w:val="009B7116"/>
    <w:rsid w:val="009C45D2"/>
    <w:rsid w:val="009D3FF5"/>
    <w:rsid w:val="009E2302"/>
    <w:rsid w:val="00A0472A"/>
    <w:rsid w:val="00A136F7"/>
    <w:rsid w:val="00A208AA"/>
    <w:rsid w:val="00A25B60"/>
    <w:rsid w:val="00A45E3A"/>
    <w:rsid w:val="00A47609"/>
    <w:rsid w:val="00A74B41"/>
    <w:rsid w:val="00AC1360"/>
    <w:rsid w:val="00AD359B"/>
    <w:rsid w:val="00AD3887"/>
    <w:rsid w:val="00AD6072"/>
    <w:rsid w:val="00AE28AC"/>
    <w:rsid w:val="00AF316A"/>
    <w:rsid w:val="00AF5123"/>
    <w:rsid w:val="00B0276F"/>
    <w:rsid w:val="00B03315"/>
    <w:rsid w:val="00B05AF5"/>
    <w:rsid w:val="00B111FA"/>
    <w:rsid w:val="00B13753"/>
    <w:rsid w:val="00B13A90"/>
    <w:rsid w:val="00B1425D"/>
    <w:rsid w:val="00B41FC0"/>
    <w:rsid w:val="00B61774"/>
    <w:rsid w:val="00B70CE3"/>
    <w:rsid w:val="00B73BD9"/>
    <w:rsid w:val="00B82972"/>
    <w:rsid w:val="00B865AB"/>
    <w:rsid w:val="00B9447F"/>
    <w:rsid w:val="00B9720D"/>
    <w:rsid w:val="00BA0743"/>
    <w:rsid w:val="00BA0A18"/>
    <w:rsid w:val="00BB0BE9"/>
    <w:rsid w:val="00BB2A66"/>
    <w:rsid w:val="00BB4914"/>
    <w:rsid w:val="00BB784C"/>
    <w:rsid w:val="00BD40DB"/>
    <w:rsid w:val="00BD4BB3"/>
    <w:rsid w:val="00BD73F1"/>
    <w:rsid w:val="00BE085C"/>
    <w:rsid w:val="00BE1E12"/>
    <w:rsid w:val="00BE2A41"/>
    <w:rsid w:val="00BF7229"/>
    <w:rsid w:val="00BF7959"/>
    <w:rsid w:val="00C036FF"/>
    <w:rsid w:val="00C03F38"/>
    <w:rsid w:val="00C054B1"/>
    <w:rsid w:val="00C05F62"/>
    <w:rsid w:val="00C06708"/>
    <w:rsid w:val="00C07285"/>
    <w:rsid w:val="00C15CFB"/>
    <w:rsid w:val="00C216A7"/>
    <w:rsid w:val="00C302B5"/>
    <w:rsid w:val="00C36366"/>
    <w:rsid w:val="00C53167"/>
    <w:rsid w:val="00C7176D"/>
    <w:rsid w:val="00C7178F"/>
    <w:rsid w:val="00C71F8E"/>
    <w:rsid w:val="00C82B45"/>
    <w:rsid w:val="00C87AE0"/>
    <w:rsid w:val="00C943EC"/>
    <w:rsid w:val="00CA113B"/>
    <w:rsid w:val="00CA7E97"/>
    <w:rsid w:val="00CB6EEE"/>
    <w:rsid w:val="00CC1E01"/>
    <w:rsid w:val="00CC30AC"/>
    <w:rsid w:val="00CD3455"/>
    <w:rsid w:val="00D12B93"/>
    <w:rsid w:val="00D14A1B"/>
    <w:rsid w:val="00D26D35"/>
    <w:rsid w:val="00D32598"/>
    <w:rsid w:val="00D331B5"/>
    <w:rsid w:val="00D5171A"/>
    <w:rsid w:val="00D56918"/>
    <w:rsid w:val="00D57A79"/>
    <w:rsid w:val="00D60E35"/>
    <w:rsid w:val="00D643AD"/>
    <w:rsid w:val="00D672A1"/>
    <w:rsid w:val="00D72392"/>
    <w:rsid w:val="00D820B9"/>
    <w:rsid w:val="00D83EC8"/>
    <w:rsid w:val="00D91C1E"/>
    <w:rsid w:val="00D9493A"/>
    <w:rsid w:val="00DA1EF9"/>
    <w:rsid w:val="00DA6B7C"/>
    <w:rsid w:val="00DB0397"/>
    <w:rsid w:val="00DB70BF"/>
    <w:rsid w:val="00DC7A0C"/>
    <w:rsid w:val="00DD37F6"/>
    <w:rsid w:val="00DD406F"/>
    <w:rsid w:val="00DD6406"/>
    <w:rsid w:val="00DF369E"/>
    <w:rsid w:val="00E0220F"/>
    <w:rsid w:val="00E14A91"/>
    <w:rsid w:val="00E2148E"/>
    <w:rsid w:val="00E2577F"/>
    <w:rsid w:val="00E26003"/>
    <w:rsid w:val="00E354C6"/>
    <w:rsid w:val="00E3739C"/>
    <w:rsid w:val="00E45C96"/>
    <w:rsid w:val="00E54A44"/>
    <w:rsid w:val="00E56CDD"/>
    <w:rsid w:val="00E66271"/>
    <w:rsid w:val="00E672B2"/>
    <w:rsid w:val="00E72A14"/>
    <w:rsid w:val="00E73F6A"/>
    <w:rsid w:val="00E80631"/>
    <w:rsid w:val="00E8344A"/>
    <w:rsid w:val="00E85904"/>
    <w:rsid w:val="00E85C5C"/>
    <w:rsid w:val="00E927C4"/>
    <w:rsid w:val="00EA2031"/>
    <w:rsid w:val="00EA457B"/>
    <w:rsid w:val="00EA565F"/>
    <w:rsid w:val="00EC18BE"/>
    <w:rsid w:val="00EC6E7E"/>
    <w:rsid w:val="00ED7C9F"/>
    <w:rsid w:val="00EE6BBD"/>
    <w:rsid w:val="00EF3CD5"/>
    <w:rsid w:val="00EF5D14"/>
    <w:rsid w:val="00EF781E"/>
    <w:rsid w:val="00F010A4"/>
    <w:rsid w:val="00F0414F"/>
    <w:rsid w:val="00F0618C"/>
    <w:rsid w:val="00F069E2"/>
    <w:rsid w:val="00F14717"/>
    <w:rsid w:val="00F221C9"/>
    <w:rsid w:val="00F229DB"/>
    <w:rsid w:val="00F314DB"/>
    <w:rsid w:val="00F55EBB"/>
    <w:rsid w:val="00F61F0D"/>
    <w:rsid w:val="00F671FD"/>
    <w:rsid w:val="00F81FC4"/>
    <w:rsid w:val="00F976BB"/>
    <w:rsid w:val="00F97E7A"/>
    <w:rsid w:val="00FA0E7D"/>
    <w:rsid w:val="00FA6320"/>
    <w:rsid w:val="00FA7CA3"/>
    <w:rsid w:val="00FD166B"/>
    <w:rsid w:val="00FE1783"/>
    <w:rsid w:val="012AF9A9"/>
    <w:rsid w:val="036BAB3F"/>
    <w:rsid w:val="03E4D32D"/>
    <w:rsid w:val="079BBA23"/>
    <w:rsid w:val="08721089"/>
    <w:rsid w:val="088AA844"/>
    <w:rsid w:val="0E1B3C53"/>
    <w:rsid w:val="10727D7B"/>
    <w:rsid w:val="12D4899F"/>
    <w:rsid w:val="1575B214"/>
    <w:rsid w:val="1790C587"/>
    <w:rsid w:val="183C082E"/>
    <w:rsid w:val="1D3D376D"/>
    <w:rsid w:val="200208D9"/>
    <w:rsid w:val="209D0B94"/>
    <w:rsid w:val="216483E4"/>
    <w:rsid w:val="26380B41"/>
    <w:rsid w:val="283057F4"/>
    <w:rsid w:val="28D1ED0F"/>
    <w:rsid w:val="2998E2AC"/>
    <w:rsid w:val="29A1805E"/>
    <w:rsid w:val="2D305EBC"/>
    <w:rsid w:val="2E0E5222"/>
    <w:rsid w:val="2E92341A"/>
    <w:rsid w:val="2ED2D693"/>
    <w:rsid w:val="2F859844"/>
    <w:rsid w:val="309E04F6"/>
    <w:rsid w:val="30BD32AC"/>
    <w:rsid w:val="30F39972"/>
    <w:rsid w:val="3400ACD4"/>
    <w:rsid w:val="344ECF28"/>
    <w:rsid w:val="359BEEF5"/>
    <w:rsid w:val="35CBA883"/>
    <w:rsid w:val="39D6144F"/>
    <w:rsid w:val="3B715632"/>
    <w:rsid w:val="3C675824"/>
    <w:rsid w:val="3CDDE417"/>
    <w:rsid w:val="409E2EDB"/>
    <w:rsid w:val="4132A1D8"/>
    <w:rsid w:val="423BA22C"/>
    <w:rsid w:val="439A3653"/>
    <w:rsid w:val="44EC7049"/>
    <w:rsid w:val="4690B914"/>
    <w:rsid w:val="4D691997"/>
    <w:rsid w:val="4E46D286"/>
    <w:rsid w:val="4F66433A"/>
    <w:rsid w:val="4FDB66F0"/>
    <w:rsid w:val="50634929"/>
    <w:rsid w:val="506D01B3"/>
    <w:rsid w:val="51A9B888"/>
    <w:rsid w:val="5941B892"/>
    <w:rsid w:val="5DC8E675"/>
    <w:rsid w:val="5DD06484"/>
    <w:rsid w:val="5DF40E0D"/>
    <w:rsid w:val="5EAC4AF3"/>
    <w:rsid w:val="5EC97D1D"/>
    <w:rsid w:val="5F7C7422"/>
    <w:rsid w:val="5F9BB773"/>
    <w:rsid w:val="60724279"/>
    <w:rsid w:val="61037D96"/>
    <w:rsid w:val="61D39030"/>
    <w:rsid w:val="63224FE5"/>
    <w:rsid w:val="634CD80F"/>
    <w:rsid w:val="63E7A0A2"/>
    <w:rsid w:val="6420B754"/>
    <w:rsid w:val="65297597"/>
    <w:rsid w:val="654D5F00"/>
    <w:rsid w:val="669E7663"/>
    <w:rsid w:val="681015C6"/>
    <w:rsid w:val="6856B530"/>
    <w:rsid w:val="69960AB3"/>
    <w:rsid w:val="6AC5E64A"/>
    <w:rsid w:val="6B9CF39C"/>
    <w:rsid w:val="6BF37993"/>
    <w:rsid w:val="6D584785"/>
    <w:rsid w:val="7182F77B"/>
    <w:rsid w:val="730A935A"/>
    <w:rsid w:val="73B850A1"/>
    <w:rsid w:val="7480ADA0"/>
    <w:rsid w:val="7583B7BF"/>
    <w:rsid w:val="77AB5A42"/>
    <w:rsid w:val="7816132A"/>
    <w:rsid w:val="790CA4C9"/>
    <w:rsid w:val="79810BE6"/>
    <w:rsid w:val="7C1749AB"/>
    <w:rsid w:val="7C8232C5"/>
    <w:rsid w:val="7CCB3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1C5D"/>
  <w15:chartTrackingRefBased/>
  <w15:docId w15:val="{A13F4298-4094-44CB-B32B-97751154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E4A71"/>
    <w:pPr>
      <w:keepNext/>
      <w:spacing w:after="0" w:line="240" w:lineRule="auto"/>
      <w:outlineLvl w:val="1"/>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E4A71"/>
    <w:rPr>
      <w:rFonts w:ascii="Arial" w:eastAsia="Times New Roman" w:hAnsi="Arial" w:cs="Times New Roman"/>
      <w:sz w:val="28"/>
      <w:szCs w:val="20"/>
      <w:lang w:val="en-US" w:eastAsia="en-GB"/>
    </w:rPr>
  </w:style>
  <w:style w:type="paragraph" w:styleId="BodyText">
    <w:name w:val="Body Text"/>
    <w:basedOn w:val="Normal"/>
    <w:link w:val="BodyTextChar"/>
    <w:rsid w:val="008E4A71"/>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8E4A71"/>
    <w:rPr>
      <w:rFonts w:ascii="Arial" w:eastAsia="Times New Roman" w:hAnsi="Arial" w:cs="Times New Roman"/>
      <w:sz w:val="28"/>
      <w:szCs w:val="20"/>
      <w:lang w:val="en-US" w:eastAsia="en-GB"/>
    </w:rPr>
  </w:style>
  <w:style w:type="paragraph" w:styleId="Footer">
    <w:name w:val="footer"/>
    <w:basedOn w:val="Normal"/>
    <w:link w:val="FooterChar"/>
    <w:uiPriority w:val="99"/>
    <w:unhideWhenUsed/>
    <w:rsid w:val="00E21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8E"/>
  </w:style>
  <w:style w:type="character" w:styleId="CommentReference">
    <w:name w:val="annotation reference"/>
    <w:basedOn w:val="DefaultParagraphFont"/>
    <w:uiPriority w:val="99"/>
    <w:semiHidden/>
    <w:unhideWhenUsed/>
    <w:rsid w:val="00E2148E"/>
    <w:rPr>
      <w:sz w:val="16"/>
      <w:szCs w:val="16"/>
    </w:rPr>
  </w:style>
  <w:style w:type="paragraph" w:styleId="CommentText">
    <w:name w:val="annotation text"/>
    <w:basedOn w:val="Normal"/>
    <w:link w:val="CommentTextChar"/>
    <w:uiPriority w:val="99"/>
    <w:unhideWhenUsed/>
    <w:rsid w:val="00E2148E"/>
    <w:pPr>
      <w:spacing w:after="200" w:line="240" w:lineRule="auto"/>
    </w:pPr>
    <w:rPr>
      <w:sz w:val="20"/>
      <w:szCs w:val="20"/>
    </w:rPr>
  </w:style>
  <w:style w:type="character" w:customStyle="1" w:styleId="CommentTextChar">
    <w:name w:val="Comment Text Char"/>
    <w:basedOn w:val="DefaultParagraphFont"/>
    <w:link w:val="CommentText"/>
    <w:uiPriority w:val="99"/>
    <w:rsid w:val="00E2148E"/>
    <w:rPr>
      <w:sz w:val="20"/>
      <w:szCs w:val="20"/>
    </w:rPr>
  </w:style>
  <w:style w:type="paragraph" w:customStyle="1" w:styleId="PKFNormalNumbered">
    <w:name w:val="PKF Normal Numbered"/>
    <w:basedOn w:val="Normal"/>
    <w:link w:val="PKFNormalNumberedChar"/>
    <w:rsid w:val="00E2148E"/>
    <w:pPr>
      <w:numPr>
        <w:ilvl w:val="1"/>
        <w:numId w:val="1"/>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E2148E"/>
    <w:pPr>
      <w:keepNext/>
      <w:numPr>
        <w:numId w:val="1"/>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E2148E"/>
    <w:rPr>
      <w:rFonts w:ascii="Arial" w:eastAsia="Times New Roman" w:hAnsi="Arial" w:cs="Times New Roman"/>
      <w:sz w:val="20"/>
      <w:szCs w:val="20"/>
      <w:lang w:eastAsia="en-GB"/>
    </w:rPr>
  </w:style>
  <w:style w:type="paragraph" w:styleId="ListParagraph">
    <w:name w:val="List Paragraph"/>
    <w:basedOn w:val="Normal"/>
    <w:uiPriority w:val="34"/>
    <w:qFormat/>
    <w:rsid w:val="00E2148E"/>
    <w:pPr>
      <w:spacing w:after="200" w:line="276" w:lineRule="auto"/>
      <w:ind w:left="720"/>
      <w:contextualSpacing/>
    </w:pPr>
  </w:style>
  <w:style w:type="paragraph" w:styleId="BalloonText">
    <w:name w:val="Balloon Text"/>
    <w:basedOn w:val="Normal"/>
    <w:link w:val="BalloonTextChar"/>
    <w:uiPriority w:val="99"/>
    <w:semiHidden/>
    <w:unhideWhenUsed/>
    <w:rsid w:val="00E2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48E"/>
    <w:rPr>
      <w:rFonts w:ascii="Segoe UI" w:hAnsi="Segoe UI" w:cs="Segoe UI"/>
      <w:sz w:val="18"/>
      <w:szCs w:val="18"/>
    </w:rPr>
  </w:style>
  <w:style w:type="paragraph" w:styleId="EndnoteText">
    <w:name w:val="endnote text"/>
    <w:basedOn w:val="Normal"/>
    <w:link w:val="EndnoteTextChar"/>
    <w:uiPriority w:val="99"/>
    <w:semiHidden/>
    <w:unhideWhenUsed/>
    <w:rsid w:val="00F671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71FD"/>
    <w:rPr>
      <w:sz w:val="20"/>
      <w:szCs w:val="20"/>
    </w:rPr>
  </w:style>
  <w:style w:type="character" w:styleId="EndnoteReference">
    <w:name w:val="endnote reference"/>
    <w:basedOn w:val="DefaultParagraphFont"/>
    <w:uiPriority w:val="99"/>
    <w:semiHidden/>
    <w:unhideWhenUsed/>
    <w:rsid w:val="00F671FD"/>
    <w:rPr>
      <w:vertAlign w:val="superscript"/>
    </w:rPr>
  </w:style>
  <w:style w:type="paragraph" w:styleId="Header">
    <w:name w:val="header"/>
    <w:basedOn w:val="Normal"/>
    <w:link w:val="HeaderChar"/>
    <w:uiPriority w:val="99"/>
    <w:unhideWhenUsed/>
    <w:rsid w:val="00F67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FD"/>
  </w:style>
  <w:style w:type="paragraph" w:styleId="FootnoteText">
    <w:name w:val="footnote text"/>
    <w:basedOn w:val="Normal"/>
    <w:link w:val="FootnoteTextChar"/>
    <w:uiPriority w:val="99"/>
    <w:semiHidden/>
    <w:unhideWhenUsed/>
    <w:rsid w:val="00F67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FD"/>
    <w:rPr>
      <w:sz w:val="20"/>
      <w:szCs w:val="20"/>
    </w:rPr>
  </w:style>
  <w:style w:type="character" w:styleId="FootnoteReference">
    <w:name w:val="footnote reference"/>
    <w:basedOn w:val="DefaultParagraphFont"/>
    <w:uiPriority w:val="99"/>
    <w:semiHidden/>
    <w:unhideWhenUsed/>
    <w:rsid w:val="00F671FD"/>
    <w:rPr>
      <w:vertAlign w:val="superscript"/>
    </w:rPr>
  </w:style>
  <w:style w:type="paragraph" w:styleId="CommentSubject">
    <w:name w:val="annotation subject"/>
    <w:basedOn w:val="CommentText"/>
    <w:next w:val="CommentText"/>
    <w:link w:val="CommentSubjectChar"/>
    <w:uiPriority w:val="99"/>
    <w:semiHidden/>
    <w:unhideWhenUsed/>
    <w:rsid w:val="002546AF"/>
    <w:pPr>
      <w:spacing w:after="160"/>
    </w:pPr>
    <w:rPr>
      <w:b/>
      <w:bCs/>
    </w:rPr>
  </w:style>
  <w:style w:type="character" w:customStyle="1" w:styleId="CommentSubjectChar">
    <w:name w:val="Comment Subject Char"/>
    <w:basedOn w:val="CommentTextChar"/>
    <w:link w:val="CommentSubject"/>
    <w:uiPriority w:val="99"/>
    <w:semiHidden/>
    <w:rsid w:val="002546AF"/>
    <w:rPr>
      <w:b/>
      <w:bCs/>
      <w:sz w:val="20"/>
      <w:szCs w:val="20"/>
    </w:rPr>
  </w:style>
  <w:style w:type="paragraph" w:customStyle="1" w:styleId="Default">
    <w:name w:val="Default"/>
    <w:rsid w:val="006B5F1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F21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79003-6e56-4323-9181-2823256ee718">
      <Terms xmlns="http://schemas.microsoft.com/office/infopath/2007/PartnerControls"/>
    </lcf76f155ced4ddcb4097134ff3c332f>
    <TaxCatchAll xmlns="57bdfe54-2ac7-4ec6-8151-2191b86722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C676506736AD4DA9CFAB02659F7C7C" ma:contentTypeVersion="18" ma:contentTypeDescription="Create a new document." ma:contentTypeScope="" ma:versionID="b20494991bdbc1ece81671d74674617a">
  <xsd:schema xmlns:xsd="http://www.w3.org/2001/XMLSchema" xmlns:xs="http://www.w3.org/2001/XMLSchema" xmlns:p="http://schemas.microsoft.com/office/2006/metadata/properties" xmlns:ns2="bc679003-6e56-4323-9181-2823256ee718" xmlns:ns3="57bdfe54-2ac7-4ec6-8151-2191b86722a0" targetNamespace="http://schemas.microsoft.com/office/2006/metadata/properties" ma:root="true" ma:fieldsID="e41ab90dca4426441564b53f2899f052" ns2:_="" ns3:_="">
    <xsd:import namespace="bc679003-6e56-4323-9181-2823256ee718"/>
    <xsd:import namespace="57bdfe54-2ac7-4ec6-8151-2191b8672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79003-6e56-4323-9181-2823256ee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0a7b7d-7d5e-4007-bb9b-fe056b10fb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dfe54-2ac7-4ec6-8151-2191b8672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ba7631-dfb8-4abb-982e-6f6f2aa131f3}" ma:internalName="TaxCatchAll" ma:showField="CatchAllData" ma:web="57bdfe54-2ac7-4ec6-8151-2191b8672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A6353-372B-44F1-B0DE-851FB30D6C68}">
  <ds:schemaRefs>
    <ds:schemaRef ds:uri="http://purl.org/dc/elements/1.1/"/>
    <ds:schemaRef ds:uri="http://schemas.microsoft.com/office/2006/metadata/properties"/>
    <ds:schemaRef ds:uri="bc679003-6e56-4323-9181-2823256ee71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7bdfe54-2ac7-4ec6-8151-2191b86722a0"/>
    <ds:schemaRef ds:uri="http://www.w3.org/XML/1998/namespace"/>
    <ds:schemaRef ds:uri="http://purl.org/dc/dcmitype/"/>
  </ds:schemaRefs>
</ds:datastoreItem>
</file>

<file path=customXml/itemProps2.xml><?xml version="1.0" encoding="utf-8"?>
<ds:datastoreItem xmlns:ds="http://schemas.openxmlformats.org/officeDocument/2006/customXml" ds:itemID="{9BA1F8CA-4CAD-407F-93DC-FEDA6246FDF7}">
  <ds:schemaRefs>
    <ds:schemaRef ds:uri="http://schemas.microsoft.com/sharepoint/v3/contenttype/forms"/>
  </ds:schemaRefs>
</ds:datastoreItem>
</file>

<file path=customXml/itemProps3.xml><?xml version="1.0" encoding="utf-8"?>
<ds:datastoreItem xmlns:ds="http://schemas.openxmlformats.org/officeDocument/2006/customXml" ds:itemID="{27254A26-8BF6-45CD-9266-C89F526E1DE8}">
  <ds:schemaRefs>
    <ds:schemaRef ds:uri="http://schemas.openxmlformats.org/officeDocument/2006/bibliography"/>
  </ds:schemaRefs>
</ds:datastoreItem>
</file>

<file path=customXml/itemProps4.xml><?xml version="1.0" encoding="utf-8"?>
<ds:datastoreItem xmlns:ds="http://schemas.openxmlformats.org/officeDocument/2006/customXml" ds:itemID="{5D76C395-527B-4F8D-A791-F5E1EBA86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79003-6e56-4323-9181-2823256ee718"/>
    <ds:schemaRef ds:uri="57bdfe54-2ac7-4ec6-8151-2191b8672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6304</Words>
  <Characters>35935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Counsell-Hubbard</dc:creator>
  <cp:keywords/>
  <dc:description/>
  <cp:lastModifiedBy>Kathryn Counsell-Hubbard</cp:lastModifiedBy>
  <cp:revision>6</cp:revision>
  <dcterms:created xsi:type="dcterms:W3CDTF">2024-07-19T16:13:00Z</dcterms:created>
  <dcterms:modified xsi:type="dcterms:W3CDTF">2024-07-19T16:16:00Z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0x010100F3C676506736AD4DA9CFAB02659F7C7C</vt:lpwstr>
  </property>
  <property fmtid="{D5CDD505-2E9C-101B-9397-08002B2CF9AE}" pid="3" name="MediaServiceImageTags">
    <vt:lpwstr/>
  </property>
</Properties>
</file>